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D8BE20" w14:textId="77777777" w:rsidR="00642C31" w:rsidRDefault="000263D3">
      <w:pPr>
        <w:rPr>
          <w:b/>
          <w:sz w:val="36"/>
        </w:rPr>
      </w:pPr>
      <w:bookmarkStart w:id="0" w:name="_GoBack"/>
      <w:r>
        <w:rPr>
          <w:b/>
          <w:sz w:val="36"/>
        </w:rPr>
        <w:t>Maximising Response – Response Profiles</w:t>
      </w:r>
    </w:p>
    <w:bookmarkEnd w:id="0"/>
    <w:p w14:paraId="5502BB59" w14:textId="1A1D1F94" w:rsidR="00642C31" w:rsidRDefault="00E17C6D">
      <w:pPr>
        <w:rPr>
          <w:b/>
          <w:sz w:val="24"/>
        </w:rPr>
      </w:pPr>
      <w:r>
        <w:rPr>
          <w:b/>
          <w:sz w:val="24"/>
        </w:rPr>
        <w:t>Victor Meirinhos</w:t>
      </w:r>
      <w:r w:rsidR="00E07DF9">
        <w:rPr>
          <w:b/>
          <w:sz w:val="24"/>
        </w:rPr>
        <w:t xml:space="preserve"> </w:t>
      </w:r>
    </w:p>
    <w:bookmarkStart w:id="1" w:name="_Toc10633580" w:displacedByCustomXml="next"/>
    <w:sdt>
      <w:sdtPr>
        <w:rPr>
          <w:rFonts w:asciiTheme="minorHAnsi" w:eastAsiaTheme="minorHAnsi" w:hAnsiTheme="minorHAnsi" w:cstheme="minorBidi"/>
          <w:b w:val="0"/>
          <w:bCs w:val="0"/>
          <w:color w:val="auto"/>
          <w:sz w:val="22"/>
          <w:szCs w:val="22"/>
        </w:rPr>
        <w:id w:val="1999376912"/>
        <w:docPartObj>
          <w:docPartGallery w:val="Table of Contents"/>
          <w:docPartUnique/>
        </w:docPartObj>
      </w:sdtPr>
      <w:sdtEndPr/>
      <w:sdtContent>
        <w:p w14:paraId="64DA2A7C" w14:textId="77777777" w:rsidR="00642C31" w:rsidRDefault="00E17C6D">
          <w:pPr>
            <w:pStyle w:val="TOCHeading"/>
          </w:pPr>
          <w:r>
            <w:t>Contents</w:t>
          </w:r>
          <w:bookmarkEnd w:id="1"/>
        </w:p>
        <w:p w14:paraId="0A087618" w14:textId="066CB1FD" w:rsidR="000C2E42" w:rsidRDefault="00FE7133">
          <w:pPr>
            <w:pStyle w:val="TOC1"/>
            <w:tabs>
              <w:tab w:val="right" w:leader="dot" w:pos="9350"/>
            </w:tabs>
            <w:rPr>
              <w:rFonts w:eastAsiaTheme="minorEastAsia"/>
              <w:noProof/>
              <w:lang w:val="en-GB" w:eastAsia="en-GB"/>
            </w:rPr>
          </w:pPr>
          <w:r>
            <w:fldChar w:fldCharType="begin"/>
          </w:r>
          <w:r w:rsidR="00E17C6D">
            <w:instrText>TOC \z \o "1-3" \u \h</w:instrText>
          </w:r>
          <w:r>
            <w:fldChar w:fldCharType="separate"/>
          </w:r>
          <w:hyperlink w:anchor="_Toc10633580" w:history="1">
            <w:r w:rsidR="000C2E42" w:rsidRPr="00FE44BF">
              <w:rPr>
                <w:rStyle w:val="Hyperlink"/>
                <w:noProof/>
              </w:rPr>
              <w:t>Contents</w:t>
            </w:r>
            <w:r w:rsidR="000C2E42">
              <w:rPr>
                <w:noProof/>
                <w:webHidden/>
              </w:rPr>
              <w:tab/>
            </w:r>
            <w:r w:rsidR="000C2E42">
              <w:rPr>
                <w:noProof/>
                <w:webHidden/>
              </w:rPr>
              <w:fldChar w:fldCharType="begin"/>
            </w:r>
            <w:r w:rsidR="000C2E42">
              <w:rPr>
                <w:noProof/>
                <w:webHidden/>
              </w:rPr>
              <w:instrText xml:space="preserve"> PAGEREF _Toc10633580 \h </w:instrText>
            </w:r>
            <w:r w:rsidR="000C2E42">
              <w:rPr>
                <w:noProof/>
                <w:webHidden/>
              </w:rPr>
            </w:r>
            <w:r w:rsidR="000C2E42">
              <w:rPr>
                <w:noProof/>
                <w:webHidden/>
              </w:rPr>
              <w:fldChar w:fldCharType="separate"/>
            </w:r>
            <w:r w:rsidR="000C2E42">
              <w:rPr>
                <w:noProof/>
                <w:webHidden/>
              </w:rPr>
              <w:t>1</w:t>
            </w:r>
            <w:r w:rsidR="000C2E42">
              <w:rPr>
                <w:noProof/>
                <w:webHidden/>
              </w:rPr>
              <w:fldChar w:fldCharType="end"/>
            </w:r>
          </w:hyperlink>
        </w:p>
        <w:p w14:paraId="01A71C56" w14:textId="5A662A03" w:rsidR="000C2E42" w:rsidRDefault="00537DD3">
          <w:pPr>
            <w:pStyle w:val="TOC1"/>
            <w:tabs>
              <w:tab w:val="left" w:pos="440"/>
              <w:tab w:val="right" w:leader="dot" w:pos="9350"/>
            </w:tabs>
            <w:rPr>
              <w:rFonts w:eastAsiaTheme="minorEastAsia"/>
              <w:noProof/>
              <w:lang w:val="en-GB" w:eastAsia="en-GB"/>
            </w:rPr>
          </w:pPr>
          <w:hyperlink w:anchor="_Toc10633581" w:history="1">
            <w:r w:rsidR="000C2E42" w:rsidRPr="00FE44BF">
              <w:rPr>
                <w:rStyle w:val="Hyperlink"/>
                <w:noProof/>
              </w:rPr>
              <w:t>1.</w:t>
            </w:r>
            <w:r w:rsidR="000C2E42">
              <w:rPr>
                <w:rFonts w:eastAsiaTheme="minorEastAsia"/>
                <w:noProof/>
                <w:lang w:val="en-GB" w:eastAsia="en-GB"/>
              </w:rPr>
              <w:tab/>
            </w:r>
            <w:r w:rsidR="000C2E42" w:rsidRPr="00FE44BF">
              <w:rPr>
                <w:rStyle w:val="Hyperlink"/>
                <w:noProof/>
              </w:rPr>
              <w:t>Introduction</w:t>
            </w:r>
            <w:r w:rsidR="000C2E42">
              <w:rPr>
                <w:noProof/>
                <w:webHidden/>
              </w:rPr>
              <w:tab/>
            </w:r>
            <w:r w:rsidR="000C2E42">
              <w:rPr>
                <w:noProof/>
                <w:webHidden/>
              </w:rPr>
              <w:fldChar w:fldCharType="begin"/>
            </w:r>
            <w:r w:rsidR="000C2E42">
              <w:rPr>
                <w:noProof/>
                <w:webHidden/>
              </w:rPr>
              <w:instrText xml:space="preserve"> PAGEREF _Toc10633581 \h </w:instrText>
            </w:r>
            <w:r w:rsidR="000C2E42">
              <w:rPr>
                <w:noProof/>
                <w:webHidden/>
              </w:rPr>
            </w:r>
            <w:r w:rsidR="000C2E42">
              <w:rPr>
                <w:noProof/>
                <w:webHidden/>
              </w:rPr>
              <w:fldChar w:fldCharType="separate"/>
            </w:r>
            <w:r w:rsidR="000C2E42">
              <w:rPr>
                <w:noProof/>
                <w:webHidden/>
              </w:rPr>
              <w:t>1</w:t>
            </w:r>
            <w:r w:rsidR="000C2E42">
              <w:rPr>
                <w:noProof/>
                <w:webHidden/>
              </w:rPr>
              <w:fldChar w:fldCharType="end"/>
            </w:r>
          </w:hyperlink>
        </w:p>
        <w:p w14:paraId="02F6C9C4" w14:textId="2CAE4ADA" w:rsidR="000C2E42" w:rsidRDefault="00537DD3">
          <w:pPr>
            <w:pStyle w:val="TOC1"/>
            <w:tabs>
              <w:tab w:val="left" w:pos="440"/>
              <w:tab w:val="right" w:leader="dot" w:pos="9350"/>
            </w:tabs>
            <w:rPr>
              <w:rFonts w:eastAsiaTheme="minorEastAsia"/>
              <w:noProof/>
              <w:lang w:val="en-GB" w:eastAsia="en-GB"/>
            </w:rPr>
          </w:pPr>
          <w:hyperlink w:anchor="_Toc10633582" w:history="1">
            <w:r w:rsidR="000C2E42" w:rsidRPr="00FE44BF">
              <w:rPr>
                <w:rStyle w:val="Hyperlink"/>
                <w:noProof/>
              </w:rPr>
              <w:t>2.</w:t>
            </w:r>
            <w:r w:rsidR="000C2E42">
              <w:rPr>
                <w:rFonts w:eastAsiaTheme="minorEastAsia"/>
                <w:noProof/>
                <w:lang w:val="en-GB" w:eastAsia="en-GB"/>
              </w:rPr>
              <w:tab/>
            </w:r>
            <w:r w:rsidR="000C2E42" w:rsidRPr="00FE44BF">
              <w:rPr>
                <w:rStyle w:val="Hyperlink"/>
                <w:noProof/>
              </w:rPr>
              <w:t>Moving to an online-first census</w:t>
            </w:r>
            <w:r w:rsidR="000C2E42">
              <w:rPr>
                <w:noProof/>
                <w:webHidden/>
              </w:rPr>
              <w:tab/>
            </w:r>
            <w:r w:rsidR="000C2E42">
              <w:rPr>
                <w:noProof/>
                <w:webHidden/>
              </w:rPr>
              <w:fldChar w:fldCharType="begin"/>
            </w:r>
            <w:r w:rsidR="000C2E42">
              <w:rPr>
                <w:noProof/>
                <w:webHidden/>
              </w:rPr>
              <w:instrText xml:space="preserve"> PAGEREF _Toc10633582 \h </w:instrText>
            </w:r>
            <w:r w:rsidR="000C2E42">
              <w:rPr>
                <w:noProof/>
                <w:webHidden/>
              </w:rPr>
            </w:r>
            <w:r w:rsidR="000C2E42">
              <w:rPr>
                <w:noProof/>
                <w:webHidden/>
              </w:rPr>
              <w:fldChar w:fldCharType="separate"/>
            </w:r>
            <w:r w:rsidR="000C2E42">
              <w:rPr>
                <w:noProof/>
                <w:webHidden/>
              </w:rPr>
              <w:t>2</w:t>
            </w:r>
            <w:r w:rsidR="000C2E42">
              <w:rPr>
                <w:noProof/>
                <w:webHidden/>
              </w:rPr>
              <w:fldChar w:fldCharType="end"/>
            </w:r>
          </w:hyperlink>
        </w:p>
        <w:p w14:paraId="50A7125C" w14:textId="34F55555" w:rsidR="000C2E42" w:rsidRDefault="00537DD3">
          <w:pPr>
            <w:pStyle w:val="TOC1"/>
            <w:tabs>
              <w:tab w:val="left" w:pos="440"/>
              <w:tab w:val="right" w:leader="dot" w:pos="9350"/>
            </w:tabs>
            <w:rPr>
              <w:rFonts w:eastAsiaTheme="minorEastAsia"/>
              <w:noProof/>
              <w:lang w:val="en-GB" w:eastAsia="en-GB"/>
            </w:rPr>
          </w:pPr>
          <w:hyperlink w:anchor="_Toc10633583" w:history="1">
            <w:r w:rsidR="000C2E42" w:rsidRPr="00FE44BF">
              <w:rPr>
                <w:rStyle w:val="Hyperlink"/>
                <w:noProof/>
              </w:rPr>
              <w:t>3.</w:t>
            </w:r>
            <w:r w:rsidR="000C2E42">
              <w:rPr>
                <w:rFonts w:eastAsiaTheme="minorEastAsia"/>
                <w:noProof/>
                <w:lang w:val="en-GB" w:eastAsia="en-GB"/>
              </w:rPr>
              <w:tab/>
            </w:r>
            <w:r w:rsidR="000C2E42" w:rsidRPr="00FE44BF">
              <w:rPr>
                <w:rStyle w:val="Hyperlink"/>
                <w:noProof/>
              </w:rPr>
              <w:t>Context in terms of ONS research</w:t>
            </w:r>
            <w:r w:rsidR="000C2E42">
              <w:rPr>
                <w:noProof/>
                <w:webHidden/>
              </w:rPr>
              <w:tab/>
            </w:r>
            <w:r w:rsidR="000C2E42">
              <w:rPr>
                <w:noProof/>
                <w:webHidden/>
              </w:rPr>
              <w:fldChar w:fldCharType="begin"/>
            </w:r>
            <w:r w:rsidR="000C2E42">
              <w:rPr>
                <w:noProof/>
                <w:webHidden/>
              </w:rPr>
              <w:instrText xml:space="preserve"> PAGEREF _Toc10633583 \h </w:instrText>
            </w:r>
            <w:r w:rsidR="000C2E42">
              <w:rPr>
                <w:noProof/>
                <w:webHidden/>
              </w:rPr>
            </w:r>
            <w:r w:rsidR="000C2E42">
              <w:rPr>
                <w:noProof/>
                <w:webHidden/>
              </w:rPr>
              <w:fldChar w:fldCharType="separate"/>
            </w:r>
            <w:r w:rsidR="000C2E42">
              <w:rPr>
                <w:noProof/>
                <w:webHidden/>
              </w:rPr>
              <w:t>3</w:t>
            </w:r>
            <w:r w:rsidR="000C2E42">
              <w:rPr>
                <w:noProof/>
                <w:webHidden/>
              </w:rPr>
              <w:fldChar w:fldCharType="end"/>
            </w:r>
          </w:hyperlink>
        </w:p>
        <w:p w14:paraId="34783491" w14:textId="381BBD30" w:rsidR="000C2E42" w:rsidRDefault="00537DD3">
          <w:pPr>
            <w:pStyle w:val="TOC1"/>
            <w:tabs>
              <w:tab w:val="left" w:pos="440"/>
              <w:tab w:val="right" w:leader="dot" w:pos="9350"/>
            </w:tabs>
            <w:rPr>
              <w:rFonts w:eastAsiaTheme="minorEastAsia"/>
              <w:noProof/>
              <w:lang w:val="en-GB" w:eastAsia="en-GB"/>
            </w:rPr>
          </w:pPr>
          <w:hyperlink w:anchor="_Toc10633584" w:history="1">
            <w:r w:rsidR="000C2E42" w:rsidRPr="00FE44BF">
              <w:rPr>
                <w:rStyle w:val="Hyperlink"/>
                <w:noProof/>
                <w:lang w:val="en-GB"/>
              </w:rPr>
              <w:t>4.</w:t>
            </w:r>
            <w:r w:rsidR="000C2E42">
              <w:rPr>
                <w:rFonts w:eastAsiaTheme="minorEastAsia"/>
                <w:noProof/>
                <w:lang w:val="en-GB" w:eastAsia="en-GB"/>
              </w:rPr>
              <w:tab/>
            </w:r>
            <w:r w:rsidR="000C2E42" w:rsidRPr="00FE44BF">
              <w:rPr>
                <w:rStyle w:val="Hyperlink"/>
                <w:noProof/>
                <w:lang w:val="en-GB"/>
              </w:rPr>
              <w:t>Exploratory analysis and statistical techniques</w:t>
            </w:r>
            <w:r w:rsidR="000C2E42">
              <w:rPr>
                <w:noProof/>
                <w:webHidden/>
              </w:rPr>
              <w:tab/>
            </w:r>
            <w:r w:rsidR="000C2E42">
              <w:rPr>
                <w:noProof/>
                <w:webHidden/>
              </w:rPr>
              <w:fldChar w:fldCharType="begin"/>
            </w:r>
            <w:r w:rsidR="000C2E42">
              <w:rPr>
                <w:noProof/>
                <w:webHidden/>
              </w:rPr>
              <w:instrText xml:space="preserve"> PAGEREF _Toc10633584 \h </w:instrText>
            </w:r>
            <w:r w:rsidR="000C2E42">
              <w:rPr>
                <w:noProof/>
                <w:webHidden/>
              </w:rPr>
            </w:r>
            <w:r w:rsidR="000C2E42">
              <w:rPr>
                <w:noProof/>
                <w:webHidden/>
              </w:rPr>
              <w:fldChar w:fldCharType="separate"/>
            </w:r>
            <w:r w:rsidR="000C2E42">
              <w:rPr>
                <w:noProof/>
                <w:webHidden/>
              </w:rPr>
              <w:t>4</w:t>
            </w:r>
            <w:r w:rsidR="000C2E42">
              <w:rPr>
                <w:noProof/>
                <w:webHidden/>
              </w:rPr>
              <w:fldChar w:fldCharType="end"/>
            </w:r>
          </w:hyperlink>
        </w:p>
        <w:p w14:paraId="02856171" w14:textId="25CFC3BF" w:rsidR="000C2E42" w:rsidRDefault="00537DD3">
          <w:pPr>
            <w:pStyle w:val="TOC1"/>
            <w:tabs>
              <w:tab w:val="left" w:pos="440"/>
              <w:tab w:val="right" w:leader="dot" w:pos="9350"/>
            </w:tabs>
            <w:rPr>
              <w:rFonts w:eastAsiaTheme="minorEastAsia"/>
              <w:noProof/>
              <w:lang w:val="en-GB" w:eastAsia="en-GB"/>
            </w:rPr>
          </w:pPr>
          <w:hyperlink w:anchor="_Toc10633585" w:history="1">
            <w:r w:rsidR="000C2E42" w:rsidRPr="00FE44BF">
              <w:rPr>
                <w:rStyle w:val="Hyperlink"/>
                <w:noProof/>
                <w:lang w:val="en-GB"/>
              </w:rPr>
              <w:t>5.</w:t>
            </w:r>
            <w:r w:rsidR="000C2E42">
              <w:rPr>
                <w:rFonts w:eastAsiaTheme="minorEastAsia"/>
                <w:noProof/>
                <w:lang w:val="en-GB" w:eastAsia="en-GB"/>
              </w:rPr>
              <w:tab/>
            </w:r>
            <w:r w:rsidR="000C2E42" w:rsidRPr="00FE44BF">
              <w:rPr>
                <w:rStyle w:val="Hyperlink"/>
                <w:noProof/>
                <w:lang w:val="en-GB"/>
              </w:rPr>
              <w:t>Preliminary results</w:t>
            </w:r>
            <w:r w:rsidR="000C2E42">
              <w:rPr>
                <w:noProof/>
                <w:webHidden/>
              </w:rPr>
              <w:tab/>
            </w:r>
            <w:r w:rsidR="000C2E42">
              <w:rPr>
                <w:noProof/>
                <w:webHidden/>
              </w:rPr>
              <w:fldChar w:fldCharType="begin"/>
            </w:r>
            <w:r w:rsidR="000C2E42">
              <w:rPr>
                <w:noProof/>
                <w:webHidden/>
              </w:rPr>
              <w:instrText xml:space="preserve"> PAGEREF _Toc10633585 \h </w:instrText>
            </w:r>
            <w:r w:rsidR="000C2E42">
              <w:rPr>
                <w:noProof/>
                <w:webHidden/>
              </w:rPr>
            </w:r>
            <w:r w:rsidR="000C2E42">
              <w:rPr>
                <w:noProof/>
                <w:webHidden/>
              </w:rPr>
              <w:fldChar w:fldCharType="separate"/>
            </w:r>
            <w:r w:rsidR="000C2E42">
              <w:rPr>
                <w:noProof/>
                <w:webHidden/>
              </w:rPr>
              <w:t>5</w:t>
            </w:r>
            <w:r w:rsidR="000C2E42">
              <w:rPr>
                <w:noProof/>
                <w:webHidden/>
              </w:rPr>
              <w:fldChar w:fldCharType="end"/>
            </w:r>
          </w:hyperlink>
        </w:p>
        <w:p w14:paraId="51F7D975" w14:textId="6590B920" w:rsidR="000C2E42" w:rsidRDefault="00537DD3">
          <w:pPr>
            <w:pStyle w:val="TOC1"/>
            <w:tabs>
              <w:tab w:val="left" w:pos="440"/>
              <w:tab w:val="right" w:leader="dot" w:pos="9350"/>
            </w:tabs>
            <w:rPr>
              <w:rFonts w:eastAsiaTheme="minorEastAsia"/>
              <w:noProof/>
              <w:lang w:val="en-GB" w:eastAsia="en-GB"/>
            </w:rPr>
          </w:pPr>
          <w:hyperlink w:anchor="_Toc10633586" w:history="1">
            <w:r w:rsidR="000C2E42" w:rsidRPr="00FE44BF">
              <w:rPr>
                <w:rStyle w:val="Hyperlink"/>
                <w:noProof/>
              </w:rPr>
              <w:t>6.</w:t>
            </w:r>
            <w:r w:rsidR="000C2E42">
              <w:rPr>
                <w:rFonts w:eastAsiaTheme="minorEastAsia"/>
                <w:noProof/>
                <w:lang w:val="en-GB" w:eastAsia="en-GB"/>
              </w:rPr>
              <w:tab/>
            </w:r>
            <w:r w:rsidR="000C2E42" w:rsidRPr="00FE44BF">
              <w:rPr>
                <w:rStyle w:val="Hyperlink"/>
                <w:noProof/>
              </w:rPr>
              <w:t>Discussion</w:t>
            </w:r>
            <w:r w:rsidR="000C2E42">
              <w:rPr>
                <w:noProof/>
                <w:webHidden/>
              </w:rPr>
              <w:tab/>
            </w:r>
            <w:r w:rsidR="000C2E42">
              <w:rPr>
                <w:noProof/>
                <w:webHidden/>
              </w:rPr>
              <w:fldChar w:fldCharType="begin"/>
            </w:r>
            <w:r w:rsidR="000C2E42">
              <w:rPr>
                <w:noProof/>
                <w:webHidden/>
              </w:rPr>
              <w:instrText xml:space="preserve"> PAGEREF _Toc10633586 \h </w:instrText>
            </w:r>
            <w:r w:rsidR="000C2E42">
              <w:rPr>
                <w:noProof/>
                <w:webHidden/>
              </w:rPr>
            </w:r>
            <w:r w:rsidR="000C2E42">
              <w:rPr>
                <w:noProof/>
                <w:webHidden/>
              </w:rPr>
              <w:fldChar w:fldCharType="separate"/>
            </w:r>
            <w:r w:rsidR="000C2E42">
              <w:rPr>
                <w:noProof/>
                <w:webHidden/>
              </w:rPr>
              <w:t>14</w:t>
            </w:r>
            <w:r w:rsidR="000C2E42">
              <w:rPr>
                <w:noProof/>
                <w:webHidden/>
              </w:rPr>
              <w:fldChar w:fldCharType="end"/>
            </w:r>
          </w:hyperlink>
        </w:p>
        <w:p w14:paraId="2C5E3A32" w14:textId="169C5A7E" w:rsidR="000C2E42" w:rsidRDefault="00537DD3">
          <w:pPr>
            <w:pStyle w:val="TOC1"/>
            <w:tabs>
              <w:tab w:val="left" w:pos="440"/>
              <w:tab w:val="right" w:leader="dot" w:pos="9350"/>
            </w:tabs>
            <w:rPr>
              <w:rFonts w:eastAsiaTheme="minorEastAsia"/>
              <w:noProof/>
              <w:lang w:val="en-GB" w:eastAsia="en-GB"/>
            </w:rPr>
          </w:pPr>
          <w:hyperlink w:anchor="_Toc10633587" w:history="1">
            <w:r w:rsidR="000C2E42" w:rsidRPr="00FE44BF">
              <w:rPr>
                <w:rStyle w:val="Hyperlink"/>
                <w:noProof/>
                <w:lang w:val="en-GB"/>
              </w:rPr>
              <w:t>7.</w:t>
            </w:r>
            <w:r w:rsidR="000C2E42">
              <w:rPr>
                <w:rFonts w:eastAsiaTheme="minorEastAsia"/>
                <w:noProof/>
                <w:lang w:val="en-GB" w:eastAsia="en-GB"/>
              </w:rPr>
              <w:tab/>
            </w:r>
            <w:r w:rsidR="000C2E42" w:rsidRPr="00FE44BF">
              <w:rPr>
                <w:rStyle w:val="Hyperlink"/>
                <w:noProof/>
                <w:lang w:val="en-GB"/>
              </w:rPr>
              <w:t>Appendix</w:t>
            </w:r>
            <w:r w:rsidR="000C2E42">
              <w:rPr>
                <w:noProof/>
                <w:webHidden/>
              </w:rPr>
              <w:tab/>
            </w:r>
            <w:r w:rsidR="000C2E42">
              <w:rPr>
                <w:noProof/>
                <w:webHidden/>
              </w:rPr>
              <w:fldChar w:fldCharType="begin"/>
            </w:r>
            <w:r w:rsidR="000C2E42">
              <w:rPr>
                <w:noProof/>
                <w:webHidden/>
              </w:rPr>
              <w:instrText xml:space="preserve"> PAGEREF _Toc10633587 \h </w:instrText>
            </w:r>
            <w:r w:rsidR="000C2E42">
              <w:rPr>
                <w:noProof/>
                <w:webHidden/>
              </w:rPr>
            </w:r>
            <w:r w:rsidR="000C2E42">
              <w:rPr>
                <w:noProof/>
                <w:webHidden/>
              </w:rPr>
              <w:fldChar w:fldCharType="separate"/>
            </w:r>
            <w:r w:rsidR="000C2E42">
              <w:rPr>
                <w:noProof/>
                <w:webHidden/>
              </w:rPr>
              <w:t>17</w:t>
            </w:r>
            <w:r w:rsidR="000C2E42">
              <w:rPr>
                <w:noProof/>
                <w:webHidden/>
              </w:rPr>
              <w:fldChar w:fldCharType="end"/>
            </w:r>
          </w:hyperlink>
        </w:p>
        <w:p w14:paraId="35EB4EBB" w14:textId="3DE7E104" w:rsidR="000C2E42" w:rsidRDefault="00537DD3">
          <w:pPr>
            <w:pStyle w:val="TOC1"/>
            <w:tabs>
              <w:tab w:val="left" w:pos="440"/>
              <w:tab w:val="right" w:leader="dot" w:pos="9350"/>
            </w:tabs>
            <w:rPr>
              <w:rFonts w:eastAsiaTheme="minorEastAsia"/>
              <w:noProof/>
              <w:lang w:val="en-GB" w:eastAsia="en-GB"/>
            </w:rPr>
          </w:pPr>
          <w:hyperlink w:anchor="_Toc10633588" w:history="1">
            <w:r w:rsidR="000C2E42" w:rsidRPr="00FE44BF">
              <w:rPr>
                <w:rStyle w:val="Hyperlink"/>
                <w:noProof/>
              </w:rPr>
              <w:t>8.</w:t>
            </w:r>
            <w:r w:rsidR="000C2E42">
              <w:rPr>
                <w:rFonts w:eastAsiaTheme="minorEastAsia"/>
                <w:noProof/>
                <w:lang w:val="en-GB" w:eastAsia="en-GB"/>
              </w:rPr>
              <w:tab/>
            </w:r>
            <w:r w:rsidR="000C2E42" w:rsidRPr="00FE44BF">
              <w:rPr>
                <w:rStyle w:val="Hyperlink"/>
                <w:noProof/>
              </w:rPr>
              <w:t>References</w:t>
            </w:r>
            <w:r w:rsidR="000C2E42">
              <w:rPr>
                <w:noProof/>
                <w:webHidden/>
              </w:rPr>
              <w:tab/>
            </w:r>
            <w:r w:rsidR="000C2E42">
              <w:rPr>
                <w:noProof/>
                <w:webHidden/>
              </w:rPr>
              <w:fldChar w:fldCharType="begin"/>
            </w:r>
            <w:r w:rsidR="000C2E42">
              <w:rPr>
                <w:noProof/>
                <w:webHidden/>
              </w:rPr>
              <w:instrText xml:space="preserve"> PAGEREF _Toc10633588 \h </w:instrText>
            </w:r>
            <w:r w:rsidR="000C2E42">
              <w:rPr>
                <w:noProof/>
                <w:webHidden/>
              </w:rPr>
            </w:r>
            <w:r w:rsidR="000C2E42">
              <w:rPr>
                <w:noProof/>
                <w:webHidden/>
              </w:rPr>
              <w:fldChar w:fldCharType="separate"/>
            </w:r>
            <w:r w:rsidR="000C2E42">
              <w:rPr>
                <w:noProof/>
                <w:webHidden/>
              </w:rPr>
              <w:t>21</w:t>
            </w:r>
            <w:r w:rsidR="000C2E42">
              <w:rPr>
                <w:noProof/>
                <w:webHidden/>
              </w:rPr>
              <w:fldChar w:fldCharType="end"/>
            </w:r>
          </w:hyperlink>
        </w:p>
        <w:p w14:paraId="5B1A57E2" w14:textId="107C424E" w:rsidR="00642C31" w:rsidRDefault="00FE7133">
          <w:r>
            <w:fldChar w:fldCharType="end"/>
          </w:r>
        </w:p>
      </w:sdtContent>
    </w:sdt>
    <w:p w14:paraId="1CAA6F7E" w14:textId="77777777" w:rsidR="00642C31" w:rsidRDefault="00642C31"/>
    <w:p w14:paraId="5183E7F3" w14:textId="77777777" w:rsidR="00642C31" w:rsidRDefault="00E17C6D">
      <w:pPr>
        <w:pStyle w:val="Heading1"/>
        <w:numPr>
          <w:ilvl w:val="0"/>
          <w:numId w:val="10"/>
        </w:numPr>
        <w:spacing w:before="0" w:after="240"/>
        <w:rPr>
          <w:rFonts w:asciiTheme="minorHAnsi" w:hAnsiTheme="minorHAnsi"/>
          <w:color w:val="00000A"/>
        </w:rPr>
      </w:pPr>
      <w:bookmarkStart w:id="2" w:name="_Toc10633581"/>
      <w:r>
        <w:rPr>
          <w:rFonts w:asciiTheme="minorHAnsi" w:hAnsiTheme="minorHAnsi"/>
          <w:color w:val="00000A"/>
        </w:rPr>
        <w:t>Introduction</w:t>
      </w:r>
      <w:bookmarkEnd w:id="2"/>
    </w:p>
    <w:p w14:paraId="4C663170" w14:textId="318E7A55" w:rsidR="008B53D7" w:rsidRPr="00574C6C" w:rsidRDefault="009F350E" w:rsidP="00885FFA">
      <w:pPr>
        <w:spacing w:after="240"/>
        <w:jc w:val="both"/>
      </w:pPr>
      <w:r w:rsidRPr="00D80ED8">
        <w:t xml:space="preserve">Response profiles are a best estimate of the volume of responses we expect to receive during the census period. </w:t>
      </w:r>
      <w:r w:rsidR="008B53D7" w:rsidRPr="00D80ED8">
        <w:t>They will model when, where and how people are</w:t>
      </w:r>
      <w:r w:rsidR="00D7363D" w:rsidRPr="00D80ED8">
        <w:t xml:space="preserve"> going to respond to the census, and they will be vital to </w:t>
      </w:r>
      <w:r w:rsidR="00D7363D" w:rsidRPr="00574C6C">
        <w:t xml:space="preserve">inform and support operational decisions during the 2021 Census (Meyer, Mok, &amp; Sullivan, 2015; </w:t>
      </w:r>
      <w:r w:rsidR="00D7363D" w:rsidRPr="00574C6C">
        <w:rPr>
          <w:rFonts w:cs="Arial"/>
          <w:color w:val="222222"/>
          <w:shd w:val="clear" w:color="auto" w:fill="FFFFFF"/>
        </w:rPr>
        <w:t>Salganik, 2017</w:t>
      </w:r>
      <w:r w:rsidR="00D7363D" w:rsidRPr="00574C6C">
        <w:t>).</w:t>
      </w:r>
    </w:p>
    <w:p w14:paraId="07837F91" w14:textId="77777777" w:rsidR="007B78E3" w:rsidRDefault="007B1FDD" w:rsidP="00885FFA">
      <w:pPr>
        <w:spacing w:after="240"/>
        <w:jc w:val="both"/>
      </w:pPr>
      <w:r>
        <w:t>Before the census, the response profiles will</w:t>
      </w:r>
      <w:r w:rsidR="008B53D7">
        <w:t xml:space="preserve"> feed into the Field Operation Simulation Model (FOS) which will</w:t>
      </w:r>
      <w:r>
        <w:t xml:space="preserve"> be used to help make decisions about </w:t>
      </w:r>
      <w:r w:rsidR="008B53D7">
        <w:t>the number of field staff required in each area,</w:t>
      </w:r>
      <w:r>
        <w:t xml:space="preserve"> where to send reminder letters</w:t>
      </w:r>
      <w:r w:rsidR="00D30B8E">
        <w:t>, and where to send paper questionnaires as the initial contact.</w:t>
      </w:r>
      <w:r>
        <w:t xml:space="preserve"> During the live census period, the response profiles will be used </w:t>
      </w:r>
      <w:r w:rsidR="008B53D7">
        <w:t>by the Response Chasing Algorithm tool (RCA) as a basis for</w:t>
      </w:r>
      <w:r>
        <w:t xml:space="preserve"> compar</w:t>
      </w:r>
      <w:r w:rsidR="008B53D7">
        <w:t>ison</w:t>
      </w:r>
      <w:r>
        <w:t xml:space="preserve"> against live return data, so that we can tell where </w:t>
      </w:r>
      <w:r w:rsidR="008B53D7">
        <w:t>we</w:t>
      </w:r>
      <w:r>
        <w:t xml:space="preserve"> need to put in extra effort to meet our quality targets of 94% overall response and at least 80% response in every local authority.</w:t>
      </w:r>
    </w:p>
    <w:p w14:paraId="5AC1840A" w14:textId="18371910" w:rsidR="00642C31" w:rsidRDefault="007B1FDD" w:rsidP="007B1FDD">
      <w:pPr>
        <w:pStyle w:val="ListParagraph"/>
        <w:spacing w:before="240" w:after="0"/>
        <w:ind w:left="0"/>
        <w:jc w:val="both"/>
      </w:pPr>
      <w:r>
        <w:t xml:space="preserve">Our aim is to build response profiles for returns by day, from the start of the census period until the end of the collection period. We </w:t>
      </w:r>
      <w:r w:rsidR="00D7363D">
        <w:t>aim</w:t>
      </w:r>
      <w:r>
        <w:t xml:space="preserve"> </w:t>
      </w:r>
      <w:r w:rsidR="00D7363D">
        <w:t xml:space="preserve">to </w:t>
      </w:r>
      <w:r>
        <w:t xml:space="preserve">do this for each mode of response – online </w:t>
      </w:r>
      <w:r w:rsidR="00D80ED8">
        <w:t>and</w:t>
      </w:r>
      <w:r>
        <w:t xml:space="preserve"> paper. </w:t>
      </w:r>
      <w:r w:rsidR="00D7363D">
        <w:t>Our objective is that e</w:t>
      </w:r>
      <w:r>
        <w:t>ach lower super output area (LSO</w:t>
      </w:r>
      <w:r w:rsidR="00A53D05">
        <w:t xml:space="preserve">A) will have a response profile </w:t>
      </w:r>
      <w:r w:rsidR="00D5059C">
        <w:t>which is associated with its</w:t>
      </w:r>
      <w:r w:rsidR="00A53D05">
        <w:t xml:space="preserve"> </w:t>
      </w:r>
      <w:r w:rsidR="00DB5A36">
        <w:t>influential demographic variables and Hard</w:t>
      </w:r>
      <w:r w:rsidR="00D5059C">
        <w:t>-t</w:t>
      </w:r>
      <w:r w:rsidR="00DB5A36">
        <w:t>o</w:t>
      </w:r>
      <w:r w:rsidR="00D5059C">
        <w:t>-</w:t>
      </w:r>
      <w:r w:rsidR="00DB5A36">
        <w:t>Count (</w:t>
      </w:r>
      <w:r w:rsidR="00C03A77">
        <w:t>H</w:t>
      </w:r>
      <w:r w:rsidR="002842CA">
        <w:t>t</w:t>
      </w:r>
      <w:r w:rsidR="00C03A77">
        <w:t>C</w:t>
      </w:r>
      <w:r w:rsidR="00DB5A36">
        <w:t>)</w:t>
      </w:r>
      <w:r w:rsidR="00D5059C">
        <w:t xml:space="preserve"> rating</w:t>
      </w:r>
      <w:r w:rsidR="00D7363D">
        <w:t xml:space="preserve">. </w:t>
      </w:r>
      <w:r w:rsidR="00D5059C">
        <w:t>G</w:t>
      </w:r>
      <w:r>
        <w:t>roups of LSOAs</w:t>
      </w:r>
      <w:r w:rsidR="00D5059C">
        <w:t xml:space="preserve"> </w:t>
      </w:r>
      <w:r>
        <w:t xml:space="preserve">that have similar response </w:t>
      </w:r>
      <w:r w:rsidR="00D5059C">
        <w:t>profile shapes</w:t>
      </w:r>
      <w:r w:rsidR="00D7363D">
        <w:t xml:space="preserve"> and demographics,</w:t>
      </w:r>
      <w:r>
        <w:t xml:space="preserve"> will be clustered together</w:t>
      </w:r>
      <w:r w:rsidR="00D5059C">
        <w:t xml:space="preserve">. This means that </w:t>
      </w:r>
      <w:r>
        <w:t xml:space="preserve">we </w:t>
      </w:r>
      <w:r w:rsidR="00D5059C">
        <w:t xml:space="preserve">can </w:t>
      </w:r>
      <w:r>
        <w:t xml:space="preserve">deal with </w:t>
      </w:r>
      <w:r w:rsidR="00DB5A36">
        <w:t>the smallest</w:t>
      </w:r>
      <w:r w:rsidR="00D5059C">
        <w:t xml:space="preserve"> possible</w:t>
      </w:r>
      <w:r w:rsidR="00DB5A36">
        <w:t xml:space="preserve"> number of </w:t>
      </w:r>
      <w:r>
        <w:t>response profiles</w:t>
      </w:r>
      <w:r w:rsidR="00D5059C">
        <w:t>,</w:t>
      </w:r>
      <w:r>
        <w:t xml:space="preserve"> rather than 34,</w:t>
      </w:r>
      <w:r w:rsidR="008B53D7">
        <w:t>753</w:t>
      </w:r>
      <w:r w:rsidR="0085547A">
        <w:t xml:space="preserve"> (the number of LSOAs). </w:t>
      </w:r>
    </w:p>
    <w:p w14:paraId="4CF34D79" w14:textId="77777777" w:rsidR="0085547A" w:rsidRDefault="0085547A" w:rsidP="007B1FDD">
      <w:pPr>
        <w:pStyle w:val="ListParagraph"/>
        <w:spacing w:before="240" w:after="0"/>
        <w:ind w:left="0"/>
        <w:jc w:val="both"/>
      </w:pPr>
    </w:p>
    <w:p w14:paraId="2CEFECA1" w14:textId="77777777" w:rsidR="0085547A" w:rsidRDefault="00D7363D" w:rsidP="007B1FDD">
      <w:pPr>
        <w:pStyle w:val="ListParagraph"/>
        <w:spacing w:before="240" w:after="0"/>
        <w:ind w:left="0"/>
        <w:jc w:val="both"/>
      </w:pPr>
      <w:r>
        <w:lastRenderedPageBreak/>
        <w:t>We anticipate that a</w:t>
      </w:r>
      <w:r w:rsidR="0085547A">
        <w:t xml:space="preserve"> cumulative response profile might look like the graph in figure 1.</w:t>
      </w:r>
      <w:r w:rsidR="008B53D7">
        <w:t xml:space="preserve"> </w:t>
      </w:r>
      <w:r w:rsidR="0085547A">
        <w:t xml:space="preserve">The grey line shows the overall response. This is broken down to show the </w:t>
      </w:r>
      <w:r>
        <w:t xml:space="preserve">daily </w:t>
      </w:r>
      <w:r w:rsidR="0085547A">
        <w:t>expected online (orange line) and paper (blue line) responses.</w:t>
      </w:r>
    </w:p>
    <w:p w14:paraId="0B55B5E2" w14:textId="77777777" w:rsidR="0085547A" w:rsidRDefault="0085547A" w:rsidP="007B1FDD">
      <w:pPr>
        <w:pStyle w:val="ListParagraph"/>
        <w:spacing w:before="240" w:after="0"/>
        <w:ind w:left="0"/>
        <w:jc w:val="both"/>
      </w:pPr>
    </w:p>
    <w:p w14:paraId="1AC23D7C" w14:textId="77777777" w:rsidR="0085547A" w:rsidRDefault="0085547A" w:rsidP="000C2E42">
      <w:pPr>
        <w:pStyle w:val="ListParagraph"/>
        <w:spacing w:before="240" w:after="0"/>
        <w:ind w:left="0"/>
        <w:jc w:val="center"/>
      </w:pPr>
      <w:r>
        <w:rPr>
          <w:noProof/>
          <w:lang w:eastAsia="en-GB"/>
        </w:rPr>
        <w:drawing>
          <wp:inline distT="0" distB="0" distL="0" distR="0" wp14:anchorId="575657C7" wp14:editId="267264BB">
            <wp:extent cx="5257800" cy="3164482"/>
            <wp:effectExtent l="0" t="0" r="0" b="0"/>
            <wp:docPr id="7" name="Picture 6">
              <a:extLst xmlns:a="http://schemas.openxmlformats.org/drawingml/2006/main">
                <a:ext uri="{FF2B5EF4-FFF2-40B4-BE49-F238E27FC236}">
                  <a16:creationId xmlns:a16="http://schemas.microsoft.com/office/drawing/2014/main" id="{81B675D9-1582-481C-97BF-B07703EBA8D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a16="http://schemas.microsoft.com/office/drawing/2014/main" id="{81B675D9-1582-481C-97BF-B07703EBA8D6}"/>
                        </a:ext>
                      </a:extLst>
                    </pic:cNvPr>
                    <pic:cNvPicPr>
                      <a:picLocks noChangeAspect="1"/>
                    </pic:cNvPicPr>
                  </pic:nvPicPr>
                  <pic:blipFill>
                    <a:blip r:embed="rId15"/>
                    <a:stretch>
                      <a:fillRect/>
                    </a:stretch>
                  </pic:blipFill>
                  <pic:spPr>
                    <a:xfrm>
                      <a:off x="0" y="0"/>
                      <a:ext cx="5265201" cy="3168936"/>
                    </a:xfrm>
                    <a:prstGeom prst="rect">
                      <a:avLst/>
                    </a:prstGeom>
                  </pic:spPr>
                </pic:pic>
              </a:graphicData>
            </a:graphic>
          </wp:inline>
        </w:drawing>
      </w:r>
    </w:p>
    <w:p w14:paraId="28BD8A1A" w14:textId="77777777" w:rsidR="007B1FDD" w:rsidRDefault="0085547A" w:rsidP="007B1FDD">
      <w:pPr>
        <w:pStyle w:val="ListParagraph"/>
        <w:spacing w:before="240" w:after="0"/>
        <w:ind w:left="0"/>
        <w:jc w:val="both"/>
      </w:pPr>
      <w:r>
        <w:t xml:space="preserve"> </w:t>
      </w:r>
    </w:p>
    <w:p w14:paraId="233699F6" w14:textId="77777777" w:rsidR="000C2E42" w:rsidRDefault="000C2E42" w:rsidP="000C2E42">
      <w:pPr>
        <w:pStyle w:val="ListParagraph"/>
        <w:spacing w:before="240" w:after="0"/>
        <w:ind w:left="0"/>
        <w:jc w:val="both"/>
      </w:pPr>
      <w:r>
        <w:t>Figure 1. Cumulative response profile example</w:t>
      </w:r>
    </w:p>
    <w:p w14:paraId="4A944939" w14:textId="77777777" w:rsidR="00822406" w:rsidRDefault="00822406" w:rsidP="007B1FDD">
      <w:pPr>
        <w:pStyle w:val="ListParagraph"/>
        <w:spacing w:before="240" w:after="0"/>
        <w:ind w:left="0"/>
        <w:jc w:val="both"/>
      </w:pPr>
    </w:p>
    <w:p w14:paraId="35C9E5BA" w14:textId="77777777" w:rsidR="00642C31" w:rsidRDefault="00703B67">
      <w:pPr>
        <w:pStyle w:val="Heading1"/>
        <w:numPr>
          <w:ilvl w:val="0"/>
          <w:numId w:val="10"/>
        </w:numPr>
        <w:spacing w:before="0" w:after="240"/>
        <w:rPr>
          <w:rFonts w:asciiTheme="minorHAnsi" w:hAnsiTheme="minorHAnsi"/>
          <w:color w:val="00000A"/>
        </w:rPr>
      </w:pPr>
      <w:bookmarkStart w:id="3" w:name="_Toc10633582"/>
      <w:r>
        <w:rPr>
          <w:rFonts w:asciiTheme="minorHAnsi" w:hAnsiTheme="minorHAnsi"/>
          <w:color w:val="00000A"/>
        </w:rPr>
        <w:t>Moving to an online-first census</w:t>
      </w:r>
      <w:bookmarkEnd w:id="3"/>
    </w:p>
    <w:p w14:paraId="1D7ED821" w14:textId="6E013768" w:rsidR="00703B67" w:rsidRDefault="00703B67" w:rsidP="00703B67">
      <w:pPr>
        <w:spacing w:after="0"/>
        <w:jc w:val="both"/>
      </w:pPr>
      <w:r>
        <w:t xml:space="preserve">A challenge in building the </w:t>
      </w:r>
      <w:r w:rsidRPr="00661209">
        <w:t>2021</w:t>
      </w:r>
      <w:r>
        <w:t xml:space="preserve"> Census response profiles, is that in </w:t>
      </w:r>
      <w:r w:rsidRPr="00661209">
        <w:t>2021</w:t>
      </w:r>
      <w:r>
        <w:t xml:space="preserve"> we are moving to an ‘online-first’ strategy. </w:t>
      </w:r>
      <w:r w:rsidR="00D7363D">
        <w:t>This means that o</w:t>
      </w:r>
      <w:r>
        <w:t xml:space="preserve">nline engagement will be actively sought and prioritised ahead of non-online modes. This </w:t>
      </w:r>
      <w:r w:rsidR="00D7363D">
        <w:t xml:space="preserve">objective </w:t>
      </w:r>
      <w:r>
        <w:t xml:space="preserve">makes the task of predicting responses for </w:t>
      </w:r>
      <w:r w:rsidRPr="00661209">
        <w:t>2021</w:t>
      </w:r>
      <w:r>
        <w:t xml:space="preserve"> more difficult. Comparisons to the 2011 Census or other </w:t>
      </w:r>
      <w:r w:rsidR="00E367CD">
        <w:t>paper-based</w:t>
      </w:r>
      <w:r>
        <w:t xml:space="preserve"> censuses are limited due to this fundamental change in approach. </w:t>
      </w:r>
      <w:r w:rsidR="00D7363D">
        <w:t xml:space="preserve">Therefore, a realistic approach to the development of the response profiles </w:t>
      </w:r>
      <w:r>
        <w:t>need</w:t>
      </w:r>
      <w:r w:rsidR="00761079">
        <w:t>s</w:t>
      </w:r>
      <w:r>
        <w:t xml:space="preserve"> to consider not only the willingness of the public to respond to a census, but also their willingness to respond online.</w:t>
      </w:r>
    </w:p>
    <w:p w14:paraId="26362F60" w14:textId="77777777" w:rsidR="00703B67" w:rsidRDefault="00703B67" w:rsidP="00703B67">
      <w:pPr>
        <w:spacing w:after="0"/>
        <w:jc w:val="both"/>
      </w:pPr>
    </w:p>
    <w:p w14:paraId="07C430FF" w14:textId="77777777" w:rsidR="00703B67" w:rsidRDefault="004B2C25" w:rsidP="00703B67">
      <w:pPr>
        <w:spacing w:after="0" w:line="240" w:lineRule="auto"/>
        <w:jc w:val="both"/>
      </w:pPr>
      <w:r>
        <w:t>An additional challenge to our ambitions comes from the fact that w</w:t>
      </w:r>
      <w:r w:rsidR="00703B67">
        <w:t xml:space="preserve">e know that sending a unique access code (UAC) and invitation to complete the census online, does have a negative impact on response when compared with sending a paper questionnaire. This was shown in the 2017 Test when the sample who were sent paper questionnaires had a response rate of 39% compared with the 26% response rate achieved by the comparative sample who were sent invitations to complete online. </w:t>
      </w:r>
    </w:p>
    <w:p w14:paraId="0C98662E" w14:textId="77777777" w:rsidR="00703B67" w:rsidRDefault="00703B67" w:rsidP="00703B67">
      <w:pPr>
        <w:spacing w:after="0" w:line="240" w:lineRule="auto"/>
        <w:jc w:val="both"/>
      </w:pPr>
    </w:p>
    <w:p w14:paraId="4D94A763" w14:textId="77777777" w:rsidR="00E17C6D" w:rsidRDefault="00703B67" w:rsidP="00703B67">
      <w:pPr>
        <w:spacing w:line="240" w:lineRule="auto"/>
        <w:jc w:val="both"/>
      </w:pPr>
      <w:r>
        <w:t xml:space="preserve">However, of the households who were sent paper questionnaires </w:t>
      </w:r>
      <w:r w:rsidR="004B2C25">
        <w:t xml:space="preserve">first </w:t>
      </w:r>
      <w:r>
        <w:t xml:space="preserve">in the test, 30% of the responding households did respond online. Comparing this with the 16% online submission rate for the 2011 Census, we can see that people </w:t>
      </w:r>
      <w:r w:rsidR="00E07DF9">
        <w:t>are becoming more</w:t>
      </w:r>
      <w:r>
        <w:t xml:space="preserve"> willing to complete the census questionnaire online</w:t>
      </w:r>
      <w:r w:rsidR="00E07DF9">
        <w:t>.</w:t>
      </w:r>
      <w:r>
        <w:t xml:space="preserve"> Evidence from the 2017 Test also shows that people tend to respond in the mode first offered to them. We </w:t>
      </w:r>
      <w:r>
        <w:lastRenderedPageBreak/>
        <w:t>therefore do not want to provide too much paper in the first instance, but would rather predict where this is the most effective approach so that we can achieve the quality target of 75% online response</w:t>
      </w:r>
      <w:r w:rsidR="004C0C2E">
        <w:t>.</w:t>
      </w:r>
    </w:p>
    <w:p w14:paraId="5AE64F0A" w14:textId="77777777" w:rsidR="004B2C25" w:rsidRDefault="00D5059C" w:rsidP="00703B67">
      <w:pPr>
        <w:spacing w:line="240" w:lineRule="auto"/>
        <w:jc w:val="both"/>
      </w:pPr>
      <w:r>
        <w:t>In addition</w:t>
      </w:r>
      <w:r w:rsidR="004B2C25">
        <w:t xml:space="preserve">, </w:t>
      </w:r>
      <w:r w:rsidR="004B2C25" w:rsidRPr="004B2C25">
        <w:t xml:space="preserve">we </w:t>
      </w:r>
      <w:r>
        <w:t>must</w:t>
      </w:r>
      <w:r w:rsidR="004B2C25" w:rsidRPr="004B2C25">
        <w:t xml:space="preserve"> </w:t>
      </w:r>
      <w:r>
        <w:t xml:space="preserve">bear in mind the need to control </w:t>
      </w:r>
      <w:r w:rsidR="004B2C25" w:rsidRPr="004B2C25">
        <w:t>variance in response</w:t>
      </w:r>
      <w:r>
        <w:t xml:space="preserve"> – keeping variation</w:t>
      </w:r>
      <w:r w:rsidR="004B2C25" w:rsidRPr="004B2C25">
        <w:t xml:space="preserve"> low </w:t>
      </w:r>
      <w:r>
        <w:t xml:space="preserve">whilst </w:t>
      </w:r>
      <w:r w:rsidR="004B2C25" w:rsidRPr="004B2C25">
        <w:t>simultaneously seek</w:t>
      </w:r>
      <w:r>
        <w:t>ing</w:t>
      </w:r>
      <w:r w:rsidR="004B2C25" w:rsidRPr="004B2C25">
        <w:t xml:space="preserve"> high response rates. </w:t>
      </w:r>
      <w:r>
        <w:t xml:space="preserve">A </w:t>
      </w:r>
      <w:r w:rsidR="004B2C25" w:rsidRPr="004B2C25">
        <w:t xml:space="preserve">relatively high response rate is needed to prevent a substantial increase in variance </w:t>
      </w:r>
      <w:r w:rsidR="004B2C25">
        <w:t xml:space="preserve">when adjusting for non-response (Racinskij, </w:t>
      </w:r>
      <w:r w:rsidR="004B2C25" w:rsidRPr="004B2C25">
        <w:t>2015).</w:t>
      </w:r>
    </w:p>
    <w:p w14:paraId="507316D0" w14:textId="7112DF69" w:rsidR="004C0C2E" w:rsidRPr="00703B67" w:rsidRDefault="004C0C2E" w:rsidP="00703B67">
      <w:pPr>
        <w:spacing w:line="240" w:lineRule="auto"/>
        <w:jc w:val="both"/>
        <w:rPr>
          <w:lang w:val="en-GB"/>
        </w:rPr>
      </w:pPr>
      <w:r>
        <w:t xml:space="preserve">To achieve </w:t>
      </w:r>
      <w:r w:rsidR="009A0FDA">
        <w:t xml:space="preserve">the 75% online response </w:t>
      </w:r>
      <w:r>
        <w:t>target</w:t>
      </w:r>
      <w:r w:rsidR="00BE3B3F">
        <w:t>, whilst pursuing</w:t>
      </w:r>
      <w:r w:rsidR="004B2C25">
        <w:t xml:space="preserve"> the highest response rate and low variance,</w:t>
      </w:r>
      <w:r w:rsidR="00E76832">
        <w:t xml:space="preserve"> </w:t>
      </w:r>
      <w:r w:rsidR="00BE3B3F">
        <w:t>O</w:t>
      </w:r>
      <w:r w:rsidR="009A0FDA">
        <w:t xml:space="preserve">perations will be using the response profiles </w:t>
      </w:r>
      <w:r w:rsidR="00BE3B3F">
        <w:t>as a source of</w:t>
      </w:r>
      <w:r w:rsidR="009A0FDA">
        <w:t xml:space="preserve"> reliable information about the underlying characteristics of the population for each geographical area (LSOA or LA)</w:t>
      </w:r>
      <w:r w:rsidR="009A0FDA" w:rsidRPr="009A0FDA">
        <w:t xml:space="preserve"> </w:t>
      </w:r>
      <w:r w:rsidR="00D80ED8">
        <w:t xml:space="preserve">before and </w:t>
      </w:r>
      <w:r w:rsidR="009A0FDA">
        <w:t>during</w:t>
      </w:r>
      <w:r w:rsidR="00BE3B3F">
        <w:t xml:space="preserve"> the census</w:t>
      </w:r>
      <w:r w:rsidR="009A0FDA">
        <w:t xml:space="preserve"> collection period. Evidence from the 2016</w:t>
      </w:r>
      <w:r w:rsidR="00FB59E4">
        <w:rPr>
          <w:rStyle w:val="FootnoteReference"/>
        </w:rPr>
        <w:footnoteReference w:id="1"/>
      </w:r>
      <w:r w:rsidR="009A0FDA">
        <w:t xml:space="preserve"> Test regarding the preferred mode of census completion by age distribution for online respondents suggests</w:t>
      </w:r>
      <w:r w:rsidR="005C6F0F">
        <w:t xml:space="preserve"> tha</w:t>
      </w:r>
      <w:r w:rsidR="00FB59E4">
        <w:t xml:space="preserve">t there should be a focus on the age group </w:t>
      </w:r>
      <w:r w:rsidR="009A0FDA">
        <w:t xml:space="preserve">75 and over </w:t>
      </w:r>
      <w:r w:rsidR="00C317C4">
        <w:t>to</w:t>
      </w:r>
      <w:r w:rsidR="00FB59E4">
        <w:t xml:space="preserve"> achieve the desired target for this segment of the population </w:t>
      </w:r>
      <w:r w:rsidR="00620C10">
        <w:t>(</w:t>
      </w:r>
      <w:r w:rsidR="00FB59E4">
        <w:t xml:space="preserve">when asked about the preferred mode of response to census only </w:t>
      </w:r>
      <w:r w:rsidR="00620C10">
        <w:t>48%</w:t>
      </w:r>
      <w:r w:rsidR="00FB59E4">
        <w:t xml:space="preserve"> of the sample in this group mentioned online respon</w:t>
      </w:r>
      <w:r w:rsidR="00BE3B3F">
        <w:t>se as their choice to reply to the  c</w:t>
      </w:r>
      <w:r w:rsidR="00FB59E4">
        <w:t>ensus</w:t>
      </w:r>
      <w:r w:rsidR="00620C10">
        <w:t>).</w:t>
      </w:r>
    </w:p>
    <w:p w14:paraId="6A3EFDC8" w14:textId="77777777" w:rsidR="00E17C6D" w:rsidRPr="003361C8" w:rsidRDefault="00703B67">
      <w:pPr>
        <w:jc w:val="both"/>
        <w:rPr>
          <w:lang w:val="en-GB"/>
        </w:rPr>
      </w:pPr>
      <w:r w:rsidRPr="003361C8">
        <w:rPr>
          <w:lang w:val="en-GB"/>
        </w:rPr>
        <w:t>By considering results from the 2017 Test</w:t>
      </w:r>
      <w:r w:rsidR="00E07DF9">
        <w:rPr>
          <w:lang w:val="en-GB"/>
        </w:rPr>
        <w:t>, large scale surveys that have moved to an online approach,</w:t>
      </w:r>
      <w:r w:rsidRPr="003361C8">
        <w:rPr>
          <w:lang w:val="en-GB"/>
        </w:rPr>
        <w:t xml:space="preserve"> and online-first censuses in other countries, we aim to predict how much of the response will be online and how much on paper, so that we can </w:t>
      </w:r>
      <w:r w:rsidR="003361C8" w:rsidRPr="003361C8">
        <w:rPr>
          <w:lang w:val="en-GB"/>
        </w:rPr>
        <w:t xml:space="preserve">split the </w:t>
      </w:r>
      <w:r w:rsidRPr="003361C8">
        <w:rPr>
          <w:lang w:val="en-GB"/>
        </w:rPr>
        <w:t>response profile</w:t>
      </w:r>
      <w:r w:rsidR="003361C8" w:rsidRPr="003361C8">
        <w:rPr>
          <w:lang w:val="en-GB"/>
        </w:rPr>
        <w:t xml:space="preserve">s </w:t>
      </w:r>
      <w:r w:rsidR="003361C8" w:rsidRPr="00117734">
        <w:rPr>
          <w:lang w:val="en-GB"/>
        </w:rPr>
        <w:t>into online and paper</w:t>
      </w:r>
      <w:r w:rsidRPr="00117734">
        <w:rPr>
          <w:lang w:val="en-GB"/>
        </w:rPr>
        <w:t xml:space="preserve"> as in figure 1.</w:t>
      </w:r>
    </w:p>
    <w:p w14:paraId="05093DF3" w14:textId="24C95CDC" w:rsidR="00C317C4" w:rsidRDefault="00C317C4" w:rsidP="00C317C4">
      <w:pPr>
        <w:pStyle w:val="Heading1"/>
        <w:numPr>
          <w:ilvl w:val="0"/>
          <w:numId w:val="10"/>
        </w:numPr>
        <w:rPr>
          <w:color w:val="auto"/>
        </w:rPr>
      </w:pPr>
      <w:bookmarkStart w:id="4" w:name="_Toc10633583"/>
      <w:r w:rsidRPr="00C317C4">
        <w:rPr>
          <w:color w:val="auto"/>
        </w:rPr>
        <w:t>Context in terms of ONS research</w:t>
      </w:r>
      <w:bookmarkEnd w:id="4"/>
    </w:p>
    <w:p w14:paraId="5BFC29AE" w14:textId="77777777" w:rsidR="004F41D7" w:rsidRPr="004F41D7" w:rsidRDefault="004F41D7" w:rsidP="004F41D7"/>
    <w:p w14:paraId="4E9A4567" w14:textId="0F3591F2" w:rsidR="00C317C4" w:rsidRPr="00922586" w:rsidRDefault="00C317C4" w:rsidP="00C317C4">
      <w:pPr>
        <w:jc w:val="both"/>
      </w:pPr>
      <w:r w:rsidRPr="00922586">
        <w:t>The response profiles are part of the Maximising Response Design product, and will be used in combination with other epics, such as the Field Operations Simulation model</w:t>
      </w:r>
      <w:r>
        <w:t xml:space="preserve"> (FOS)</w:t>
      </w:r>
      <w:r w:rsidRPr="00922586">
        <w:t>, the Hard</w:t>
      </w:r>
      <w:r w:rsidR="00BE3B3F">
        <w:t>-</w:t>
      </w:r>
      <w:r w:rsidRPr="00922586">
        <w:t>to</w:t>
      </w:r>
      <w:r w:rsidR="00BE3B3F">
        <w:t>-</w:t>
      </w:r>
      <w:r w:rsidRPr="00922586">
        <w:t xml:space="preserve">Count </w:t>
      </w:r>
      <w:r w:rsidR="00BE3B3F">
        <w:t>(</w:t>
      </w:r>
      <w:r w:rsidR="00C03A77">
        <w:t>HtC</w:t>
      </w:r>
      <w:r w:rsidR="00BE3B3F">
        <w:t xml:space="preserve">) </w:t>
      </w:r>
      <w:r w:rsidRPr="00922586">
        <w:t>index and the Response Chasing Algorithm</w:t>
      </w:r>
      <w:r>
        <w:t xml:space="preserve"> </w:t>
      </w:r>
      <w:r w:rsidR="00BE3B3F">
        <w:t xml:space="preserve">tool </w:t>
      </w:r>
      <w:r>
        <w:t>(RCA)</w:t>
      </w:r>
      <w:r w:rsidRPr="00922586">
        <w:t>. The FOS will be used to prepare for follow-up</w:t>
      </w:r>
      <w:r w:rsidR="00BE3B3F">
        <w:t>,</w:t>
      </w:r>
      <w:r w:rsidRPr="00922586">
        <w:t xml:space="preserve"> for example, by simulating different scenarios to test the effect of follow-up strategy on response. The </w:t>
      </w:r>
      <w:r w:rsidR="00C03A77">
        <w:t>HtC</w:t>
      </w:r>
      <w:r w:rsidRPr="00922586">
        <w:t xml:space="preserve"> Index will help us decide how to chase non-response at the sta</w:t>
      </w:r>
      <w:r w:rsidR="00BE3B3F">
        <w:t>rt of follow-up. In comparison, t</w:t>
      </w:r>
      <w:r w:rsidRPr="00922586">
        <w:t xml:space="preserve">he RCA is a decision support tool that will help the operational community make the best decisions about deploying interventions to maximise the </w:t>
      </w:r>
      <w:r w:rsidRPr="00BE3B3F">
        <w:t>return rate</w:t>
      </w:r>
      <w:r w:rsidRPr="00922586">
        <w:t xml:space="preserve">, helping ONS reach the key </w:t>
      </w:r>
      <w:r w:rsidRPr="00BE3B3F">
        <w:t>response</w:t>
      </w:r>
      <w:r w:rsidRPr="00922586">
        <w:t xml:space="preserve"> targets during both the 2019 Census Rehearsal and the 2021 Census. </w:t>
      </w:r>
      <w:r>
        <w:t xml:space="preserve">It is </w:t>
      </w:r>
      <w:r w:rsidR="0057797C">
        <w:t>expected</w:t>
      </w:r>
      <w:r>
        <w:t xml:space="preserve"> that the response profiles </w:t>
      </w:r>
      <w:r w:rsidR="00BE3B3F">
        <w:t xml:space="preserve">will </w:t>
      </w:r>
      <w:r w:rsidR="00BB1FC4">
        <w:t>feed into the FOS and the RCA. They will</w:t>
      </w:r>
      <w:r>
        <w:t xml:space="preserve"> </w:t>
      </w:r>
      <w:r w:rsidR="0057797C">
        <w:t>provide the</w:t>
      </w:r>
      <w:r>
        <w:t xml:space="preserve"> baseline returns</w:t>
      </w:r>
      <w:r w:rsidR="0057797C">
        <w:t xml:space="preserve"> during </w:t>
      </w:r>
      <w:r w:rsidR="00357AC9">
        <w:t>the c</w:t>
      </w:r>
      <w:r w:rsidR="0057797C">
        <w:t>ensus collection period (self-response)</w:t>
      </w:r>
      <w:r>
        <w:t xml:space="preserve"> </w:t>
      </w:r>
      <w:r w:rsidR="00BB1FC4">
        <w:t>to</w:t>
      </w:r>
      <w:r>
        <w:t xml:space="preserve"> the FOS</w:t>
      </w:r>
      <w:r w:rsidR="00357AC9">
        <w:t>,</w:t>
      </w:r>
      <w:r w:rsidR="0057797C">
        <w:t xml:space="preserve"> and</w:t>
      </w:r>
      <w:r w:rsidR="00357AC9">
        <w:t xml:space="preserve"> will</w:t>
      </w:r>
      <w:r w:rsidR="0057797C">
        <w:t xml:space="preserve"> </w:t>
      </w:r>
      <w:r w:rsidR="00BB1FC4">
        <w:t xml:space="preserve">be used by the RCA as the </w:t>
      </w:r>
      <w:r w:rsidR="0057797C">
        <w:t xml:space="preserve">reference data </w:t>
      </w:r>
      <w:r w:rsidR="00BB1FC4">
        <w:t>to flag shortages in response from all LSOA</w:t>
      </w:r>
      <w:r w:rsidR="00357AC9">
        <w:t>s</w:t>
      </w:r>
      <w:r w:rsidR="00BB1FC4">
        <w:t xml:space="preserve"> in England and Wales</w:t>
      </w:r>
      <w:r w:rsidR="0057797C">
        <w:t xml:space="preserve">. </w:t>
      </w:r>
    </w:p>
    <w:p w14:paraId="0F656E1E" w14:textId="77777777" w:rsidR="00C317C4" w:rsidRDefault="00C317C4" w:rsidP="00C317C4"/>
    <w:p w14:paraId="413E2561" w14:textId="77777777" w:rsidR="00642C31" w:rsidRDefault="006B58FF">
      <w:pPr>
        <w:pStyle w:val="Heading1"/>
        <w:numPr>
          <w:ilvl w:val="0"/>
          <w:numId w:val="10"/>
        </w:numPr>
        <w:spacing w:before="0" w:after="240"/>
        <w:rPr>
          <w:rFonts w:asciiTheme="minorHAnsi" w:hAnsiTheme="minorHAnsi"/>
          <w:color w:val="00000A"/>
          <w:lang w:val="en-GB"/>
        </w:rPr>
      </w:pPr>
      <w:bookmarkStart w:id="5" w:name="_Toc10633584"/>
      <w:r>
        <w:rPr>
          <w:rFonts w:asciiTheme="minorHAnsi" w:hAnsiTheme="minorHAnsi"/>
          <w:color w:val="00000A"/>
          <w:lang w:val="en-GB"/>
        </w:rPr>
        <w:lastRenderedPageBreak/>
        <w:t>Exploratory analysis</w:t>
      </w:r>
      <w:r w:rsidR="00775C3C">
        <w:rPr>
          <w:rFonts w:asciiTheme="minorHAnsi" w:hAnsiTheme="minorHAnsi"/>
          <w:color w:val="00000A"/>
          <w:lang w:val="en-GB"/>
        </w:rPr>
        <w:t xml:space="preserve"> </w:t>
      </w:r>
      <w:r w:rsidR="003361C8">
        <w:rPr>
          <w:rFonts w:asciiTheme="minorHAnsi" w:hAnsiTheme="minorHAnsi"/>
          <w:color w:val="00000A"/>
          <w:lang w:val="en-GB"/>
        </w:rPr>
        <w:t>and statistical techniques</w:t>
      </w:r>
      <w:bookmarkEnd w:id="5"/>
    </w:p>
    <w:p w14:paraId="381094A0" w14:textId="7CB6A0EE" w:rsidR="00974F97" w:rsidRPr="00922586" w:rsidRDefault="00974F97" w:rsidP="009C06CD">
      <w:pPr>
        <w:pStyle w:val="ListParagraph"/>
        <w:numPr>
          <w:ilvl w:val="0"/>
          <w:numId w:val="12"/>
        </w:numPr>
        <w:jc w:val="both"/>
      </w:pPr>
      <w:r>
        <w:rPr>
          <w:b/>
        </w:rPr>
        <w:t>Analysing the response shape</w:t>
      </w:r>
      <w:r>
        <w:t xml:space="preserve"> – Analysing and plotting the self-response shape using a clustering analysis. This analysis will consider LSOA response during </w:t>
      </w:r>
      <w:r w:rsidR="00357AC9">
        <w:t xml:space="preserve">the </w:t>
      </w:r>
      <w:r>
        <w:t xml:space="preserve">5 weeks prior to the start of field follow-up in 2011. </w:t>
      </w:r>
      <w:r w:rsidRPr="00922586">
        <w:t xml:space="preserve">This </w:t>
      </w:r>
      <w:r>
        <w:t xml:space="preserve">analysis aims to </w:t>
      </w:r>
      <w:r w:rsidR="00AC39B9">
        <w:t xml:space="preserve">link </w:t>
      </w:r>
      <w:r w:rsidRPr="00922586">
        <w:t xml:space="preserve">response </w:t>
      </w:r>
      <w:r>
        <w:t>behaviour</w:t>
      </w:r>
      <w:r w:rsidRPr="00922586">
        <w:t xml:space="preserve"> to geography, under the assumption that </w:t>
      </w:r>
      <w:r>
        <w:t>LS</w:t>
      </w:r>
      <w:r w:rsidRPr="00922586">
        <w:t xml:space="preserve">OA classifications reflect the characteristics of the underlying population.  </w:t>
      </w:r>
    </w:p>
    <w:p w14:paraId="6F227D5D" w14:textId="77777777" w:rsidR="00974F97" w:rsidRPr="00324264" w:rsidRDefault="00974F97" w:rsidP="00974F97">
      <w:pPr>
        <w:pStyle w:val="ListParagraph"/>
        <w:ind w:left="360"/>
        <w:jc w:val="both"/>
      </w:pPr>
    </w:p>
    <w:p w14:paraId="19303E51" w14:textId="7C11B23B" w:rsidR="00974F97" w:rsidRPr="00922586" w:rsidRDefault="00974F97" w:rsidP="008D68A4">
      <w:pPr>
        <w:pStyle w:val="ListParagraph"/>
        <w:numPr>
          <w:ilvl w:val="1"/>
          <w:numId w:val="16"/>
        </w:numPr>
        <w:jc w:val="both"/>
      </w:pPr>
      <w:r w:rsidRPr="00324264">
        <w:t>Perform a</w:t>
      </w:r>
      <w:r w:rsidRPr="00357AC9">
        <w:rPr>
          <w:b/>
        </w:rPr>
        <w:t xml:space="preserve"> </w:t>
      </w:r>
      <w:r w:rsidR="00357AC9" w:rsidRPr="00357AC9">
        <w:rPr>
          <w:b/>
        </w:rPr>
        <w:t>cluster</w:t>
      </w:r>
      <w:r w:rsidR="00357AC9">
        <w:rPr>
          <w:b/>
        </w:rPr>
        <w:t xml:space="preserve"> a</w:t>
      </w:r>
      <w:r w:rsidRPr="00974F97">
        <w:rPr>
          <w:b/>
        </w:rPr>
        <w:t>nalysis (</w:t>
      </w:r>
      <w:r w:rsidR="008D68A4">
        <w:rPr>
          <w:b/>
        </w:rPr>
        <w:t>two-step cluster</w:t>
      </w:r>
      <w:r w:rsidRPr="00974F97">
        <w:rPr>
          <w:b/>
        </w:rPr>
        <w:t>)</w:t>
      </w:r>
      <w:r w:rsidRPr="00922586">
        <w:t xml:space="preserve"> to segment </w:t>
      </w:r>
      <w:r>
        <w:t xml:space="preserve">2011 </w:t>
      </w:r>
      <w:r w:rsidR="00AC39B9">
        <w:t xml:space="preserve">Census </w:t>
      </w:r>
      <w:r w:rsidR="00357AC9">
        <w:t>returns. The c</w:t>
      </w:r>
      <w:r w:rsidRPr="00922586">
        <w:t xml:space="preserve">luster analysis </w:t>
      </w:r>
      <w:r>
        <w:t>is</w:t>
      </w:r>
      <w:r w:rsidRPr="00922586">
        <w:t xml:space="preserve"> used as an exploratory analysis to identify structures within the census</w:t>
      </w:r>
      <w:r>
        <w:t xml:space="preserve"> self-response </w:t>
      </w:r>
      <w:r w:rsidRPr="00922586">
        <w:t>data. This technique is</w:t>
      </w:r>
      <w:r>
        <w:t xml:space="preserve"> considered </w:t>
      </w:r>
      <w:r w:rsidRPr="00922586">
        <w:t xml:space="preserve">robust for clustering homogenous groups of cases </w:t>
      </w:r>
      <w:r>
        <w:t>when</w:t>
      </w:r>
      <w:r w:rsidRPr="00922586">
        <w:t xml:space="preserve"> the grouping is not previously known. However, because it is exploratory, it does </w:t>
      </w:r>
      <w:r w:rsidR="00D80ED8">
        <w:t xml:space="preserve">not </w:t>
      </w:r>
      <w:r w:rsidRPr="00922586">
        <w:t>make any distinction between depe</w:t>
      </w:r>
      <w:r w:rsidR="00AC39B9">
        <w:t>ndent and independent variables and therefore we cannot infer any causal relationship between variables. Despite this limitation, c</w:t>
      </w:r>
      <w:r w:rsidR="00AC39B9" w:rsidRPr="00922586">
        <w:t>lustering</w:t>
      </w:r>
      <w:r w:rsidR="00EC396D">
        <w:t xml:space="preserve"> has been used in a large var</w:t>
      </w:r>
      <w:r w:rsidR="008D68A4">
        <w:t xml:space="preserve">iety of fields and applications </w:t>
      </w:r>
      <w:r w:rsidR="00AC39B9">
        <w:t>to produce data segmentation and explore association</w:t>
      </w:r>
      <w:r w:rsidR="00661209">
        <w:t>s</w:t>
      </w:r>
      <w:r w:rsidR="00AC39B9">
        <w:t xml:space="preserve"> between variables in large datasets </w:t>
      </w:r>
      <w:r w:rsidR="008D68A4">
        <w:t xml:space="preserve">(Dietrich et al., 2014, 2016; Sarstedt &amp; Mooi, 2014; </w:t>
      </w:r>
      <w:r w:rsidR="008D68A4" w:rsidRPr="008D68A4">
        <w:t>Tkaczynski</w:t>
      </w:r>
      <w:r w:rsidR="008D68A4">
        <w:t>, 2017)</w:t>
      </w:r>
      <w:r w:rsidR="00661209">
        <w:t>.</w:t>
      </w:r>
    </w:p>
    <w:p w14:paraId="6AD361B2" w14:textId="77777777" w:rsidR="00974F97" w:rsidRPr="00324264" w:rsidRDefault="00974F97" w:rsidP="00974F97">
      <w:pPr>
        <w:pStyle w:val="ListParagraph"/>
        <w:ind w:left="792"/>
        <w:jc w:val="both"/>
      </w:pPr>
    </w:p>
    <w:p w14:paraId="4A57D350" w14:textId="77777777" w:rsidR="00974F97" w:rsidRDefault="00974F97" w:rsidP="008D68A4">
      <w:pPr>
        <w:pStyle w:val="ListParagraph"/>
        <w:numPr>
          <w:ilvl w:val="1"/>
          <w:numId w:val="16"/>
        </w:numPr>
        <w:jc w:val="both"/>
      </w:pPr>
      <w:r w:rsidRPr="00324264">
        <w:t xml:space="preserve">Use a </w:t>
      </w:r>
      <w:r w:rsidRPr="00974F97">
        <w:rPr>
          <w:b/>
        </w:rPr>
        <w:t>discriminant analysis</w:t>
      </w:r>
      <w:r w:rsidRPr="00922586">
        <w:t xml:space="preserve"> to determine whether the clusters are significantly different from each other. This technique is used to analyse complex data when the criterion or the dependent v</w:t>
      </w:r>
      <w:r w:rsidR="00AC39B9">
        <w:t>ariable is categorical (cluster classification</w:t>
      </w:r>
      <w:r w:rsidRPr="00922586">
        <w:t>) and predictor</w:t>
      </w:r>
      <w:r w:rsidR="00AC39B9">
        <w:t>s</w:t>
      </w:r>
      <w:r w:rsidRPr="00922586">
        <w:t xml:space="preserve"> or the independent variable</w:t>
      </w:r>
      <w:r w:rsidR="00AC39B9">
        <w:t>s</w:t>
      </w:r>
      <w:r>
        <w:t xml:space="preserve"> (</w:t>
      </w:r>
      <w:r w:rsidR="00AC39B9">
        <w:t>clustering variables</w:t>
      </w:r>
      <w:r>
        <w:t>)</w:t>
      </w:r>
      <w:r w:rsidRPr="00922586">
        <w:t xml:space="preserve"> </w:t>
      </w:r>
      <w:r w:rsidR="00AC39B9">
        <w:t>are</w:t>
      </w:r>
      <w:r w:rsidRPr="00922586">
        <w:t xml:space="preserve"> continuous. The main advantage of this technique </w:t>
      </w:r>
      <w:r>
        <w:t>is that it examines</w:t>
      </w:r>
      <w:r w:rsidRPr="00922586">
        <w:t xml:space="preserve"> whether significant differences </w:t>
      </w:r>
      <w:r w:rsidR="008D68A4" w:rsidRPr="00922586">
        <w:t>exist</w:t>
      </w:r>
      <w:r w:rsidRPr="00922586">
        <w:t xml:space="preserve"> among the groups, in te</w:t>
      </w:r>
      <w:r w:rsidR="00AC39B9">
        <w:t xml:space="preserve">rms of the predictor variables, </w:t>
      </w:r>
      <w:r w:rsidRPr="00922586">
        <w:t xml:space="preserve">evaluates the </w:t>
      </w:r>
      <w:r w:rsidR="008D68A4">
        <w:t>accuracy of the classification</w:t>
      </w:r>
      <w:r w:rsidR="00AC39B9">
        <w:t xml:space="preserve"> and reassign</w:t>
      </w:r>
      <w:r w:rsidR="00357AC9">
        <w:t>s</w:t>
      </w:r>
      <w:r w:rsidR="00AC39B9">
        <w:t xml:space="preserve"> observations to new clusters </w:t>
      </w:r>
      <w:r w:rsidR="008D68A4">
        <w:t xml:space="preserve">(Silverman, </w:t>
      </w:r>
      <w:r w:rsidR="008D68A4" w:rsidRPr="008D68A4">
        <w:t>2018)</w:t>
      </w:r>
      <w:r w:rsidR="00AC39B9">
        <w:t>.</w:t>
      </w:r>
    </w:p>
    <w:p w14:paraId="26528266" w14:textId="77777777" w:rsidR="00974F97" w:rsidRPr="00974F97" w:rsidRDefault="00974F97" w:rsidP="00974F97">
      <w:pPr>
        <w:rPr>
          <w:lang w:val="en-GB"/>
        </w:rPr>
      </w:pPr>
    </w:p>
    <w:p w14:paraId="466150D5" w14:textId="22DB494E" w:rsidR="001060A0" w:rsidRDefault="001060A0" w:rsidP="00974F97">
      <w:pPr>
        <w:pStyle w:val="ListParagraph"/>
        <w:numPr>
          <w:ilvl w:val="0"/>
          <w:numId w:val="18"/>
        </w:numPr>
        <w:jc w:val="both"/>
      </w:pPr>
      <w:r w:rsidRPr="001060A0">
        <w:rPr>
          <w:b/>
        </w:rPr>
        <w:t>Model specification</w:t>
      </w:r>
      <w:r>
        <w:t xml:space="preserve"> - Build</w:t>
      </w:r>
      <w:r w:rsidRPr="00922586">
        <w:t xml:space="preserve"> up a model </w:t>
      </w:r>
      <w:r>
        <w:t>using</w:t>
      </w:r>
      <w:r w:rsidRPr="00922586">
        <w:t xml:space="preserve"> respondent’s characteristics (e.g. demographics)</w:t>
      </w:r>
      <w:r>
        <w:t xml:space="preserve"> from </w:t>
      </w:r>
      <w:r w:rsidRPr="00922586">
        <w:t>the 2011 Cen</w:t>
      </w:r>
      <w:r>
        <w:t xml:space="preserve">sus and the </w:t>
      </w:r>
      <w:r w:rsidR="00C03A77">
        <w:t>HtC</w:t>
      </w:r>
      <w:r>
        <w:t xml:space="preserve"> for 2021 to assess the influe</w:t>
      </w:r>
      <w:r w:rsidR="008474FF">
        <w:t>ntial variables in the prediction</w:t>
      </w:r>
      <w:r>
        <w:t xml:space="preserve"> of the cumulative response rate by da</w:t>
      </w:r>
      <w:r w:rsidR="008474FF">
        <w:t>y 10 after c</w:t>
      </w:r>
      <w:r>
        <w:t>ensus day in 2011 (6 April 2011)</w:t>
      </w:r>
      <w:r w:rsidRPr="00922586">
        <w:t>.</w:t>
      </w:r>
      <w:r>
        <w:t xml:space="preserve"> </w:t>
      </w:r>
      <w:r w:rsidR="0011413F">
        <w:t>This will be followed by the development of</w:t>
      </w:r>
      <w:r w:rsidR="00974F97">
        <w:t xml:space="preserve"> a longitudinal model using observations from 5 consecutive weeks. </w:t>
      </w:r>
      <w:r>
        <w:t xml:space="preserve">This stage of the analysis does not make any distinction between online and paper responses, considering </w:t>
      </w:r>
      <w:r w:rsidR="0011413F">
        <w:t xml:space="preserve">only </w:t>
      </w:r>
      <w:r>
        <w:t xml:space="preserve">the </w:t>
      </w:r>
      <w:r w:rsidR="00DF6AA7">
        <w:t>overall self-response</w:t>
      </w:r>
      <w:r>
        <w:t xml:space="preserve"> for e</w:t>
      </w:r>
      <w:r w:rsidR="008474FF">
        <w:t xml:space="preserve">ach of the 34,753 </w:t>
      </w:r>
      <w:r>
        <w:t>LSOA</w:t>
      </w:r>
      <w:r w:rsidR="008474FF">
        <w:t>s in England and Wales</w:t>
      </w:r>
      <w:r>
        <w:t xml:space="preserve">. </w:t>
      </w:r>
    </w:p>
    <w:p w14:paraId="1E66C3B0" w14:textId="77777777" w:rsidR="00974F97" w:rsidRPr="00922586" w:rsidRDefault="00974F97" w:rsidP="00974F97">
      <w:pPr>
        <w:pStyle w:val="ListParagraph"/>
        <w:ind w:left="360"/>
        <w:jc w:val="both"/>
      </w:pPr>
    </w:p>
    <w:p w14:paraId="676DF547" w14:textId="60046871" w:rsidR="001060A0" w:rsidRDefault="001060A0" w:rsidP="00974F97">
      <w:pPr>
        <w:pStyle w:val="ListParagraph"/>
        <w:numPr>
          <w:ilvl w:val="1"/>
          <w:numId w:val="18"/>
        </w:numPr>
        <w:jc w:val="both"/>
      </w:pPr>
      <w:r>
        <w:t xml:space="preserve">Use a </w:t>
      </w:r>
      <w:r w:rsidRPr="00974F97">
        <w:rPr>
          <w:b/>
        </w:rPr>
        <w:t>multiple regression model</w:t>
      </w:r>
      <w:r>
        <w:t xml:space="preserve"> with the entire sample of 34</w:t>
      </w:r>
      <w:r w:rsidR="00D80ED8">
        <w:t>,</w:t>
      </w:r>
      <w:r>
        <w:t>753 LSOAs. Predictor variables to be teste</w:t>
      </w:r>
      <w:r w:rsidR="008474FF">
        <w:t xml:space="preserve">d in the first model will </w:t>
      </w:r>
      <w:r w:rsidR="00885FFA">
        <w:t>be HtC</w:t>
      </w:r>
      <w:r>
        <w:t xml:space="preserve"> </w:t>
      </w:r>
      <w:r w:rsidR="008474FF">
        <w:t>rating</w:t>
      </w:r>
      <w:r>
        <w:t xml:space="preserve">, predominant age group </w:t>
      </w:r>
      <w:r w:rsidR="008474FF">
        <w:t xml:space="preserve">of </w:t>
      </w:r>
      <w:r w:rsidR="00AB3415">
        <w:t>household reference person (</w:t>
      </w:r>
      <w:r>
        <w:t>HRP</w:t>
      </w:r>
      <w:r w:rsidR="00AB3415">
        <w:t>),</w:t>
      </w:r>
      <w:r>
        <w:t xml:space="preserve"> predominant gender group </w:t>
      </w:r>
      <w:r w:rsidR="00AB3415">
        <w:t xml:space="preserve">of </w:t>
      </w:r>
      <w:r>
        <w:t xml:space="preserve">HRP, predominant household size, predominant qualifications </w:t>
      </w:r>
      <w:r w:rsidR="00AB3415">
        <w:t>of</w:t>
      </w:r>
      <w:r>
        <w:t xml:space="preserve"> HRP</w:t>
      </w:r>
      <w:r w:rsidR="00AB3415">
        <w:t>. T</w:t>
      </w:r>
      <w:r>
        <w:t>he outcome variable will be</w:t>
      </w:r>
      <w:r w:rsidR="00AB3415">
        <w:t xml:space="preserve"> the</w:t>
      </w:r>
      <w:r>
        <w:t xml:space="preserve"> </w:t>
      </w:r>
      <w:r w:rsidR="00F12161">
        <w:t xml:space="preserve">response rate by day 10 after </w:t>
      </w:r>
      <w:r w:rsidR="00AB3415">
        <w:t>c</w:t>
      </w:r>
      <w:r w:rsidR="00F12161">
        <w:t>ensus day.</w:t>
      </w:r>
    </w:p>
    <w:p w14:paraId="0067836E" w14:textId="77777777" w:rsidR="001060A0" w:rsidRPr="00922586" w:rsidRDefault="001060A0" w:rsidP="001060A0">
      <w:pPr>
        <w:pStyle w:val="ListParagraph"/>
        <w:ind w:left="1440"/>
        <w:jc w:val="both"/>
      </w:pPr>
    </w:p>
    <w:p w14:paraId="1E29D640" w14:textId="3F57858F" w:rsidR="001060A0" w:rsidRPr="00922586" w:rsidRDefault="00F12161" w:rsidP="00974F97">
      <w:pPr>
        <w:pStyle w:val="ListParagraph"/>
        <w:numPr>
          <w:ilvl w:val="1"/>
          <w:numId w:val="18"/>
        </w:numPr>
        <w:jc w:val="both"/>
      </w:pPr>
      <w:r>
        <w:t xml:space="preserve">Using a </w:t>
      </w:r>
      <w:r w:rsidRPr="00974F97">
        <w:rPr>
          <w:b/>
        </w:rPr>
        <w:t>random sample</w:t>
      </w:r>
      <w:r>
        <w:t xml:space="preserve"> of 3</w:t>
      </w:r>
      <w:r w:rsidR="00D80ED8">
        <w:t>,</w:t>
      </w:r>
      <w:r>
        <w:t>488 LSOAs</w:t>
      </w:r>
      <w:r w:rsidR="00AB3415">
        <w:t>,</w:t>
      </w:r>
      <w:r>
        <w:t xml:space="preserve"> perform a multiple regression with the same predictor and outcome variables to evaluate significant main and interaction effects.</w:t>
      </w:r>
    </w:p>
    <w:p w14:paraId="460D0D13" w14:textId="77777777" w:rsidR="001060A0" w:rsidRPr="00922586" w:rsidRDefault="001060A0" w:rsidP="001060A0">
      <w:pPr>
        <w:pStyle w:val="ListParagraph"/>
        <w:ind w:left="792"/>
        <w:jc w:val="both"/>
      </w:pPr>
    </w:p>
    <w:p w14:paraId="7DBB6020" w14:textId="4DEF81A3" w:rsidR="001060A0" w:rsidRDefault="00F12161" w:rsidP="00974F97">
      <w:pPr>
        <w:pStyle w:val="ListParagraph"/>
        <w:numPr>
          <w:ilvl w:val="1"/>
          <w:numId w:val="18"/>
        </w:numPr>
        <w:jc w:val="both"/>
      </w:pPr>
      <w:r>
        <w:t xml:space="preserve">Conduct </w:t>
      </w:r>
      <w:r w:rsidRPr="00974F97">
        <w:rPr>
          <w:b/>
          <w:i/>
        </w:rPr>
        <w:t>Post Hoc Tests</w:t>
      </w:r>
      <w:r w:rsidRPr="00974F97">
        <w:rPr>
          <w:b/>
        </w:rPr>
        <w:t xml:space="preserve"> with </w:t>
      </w:r>
      <w:r w:rsidR="00E76832" w:rsidRPr="00974F97">
        <w:rPr>
          <w:b/>
        </w:rPr>
        <w:t>Bonferroni</w:t>
      </w:r>
      <w:r w:rsidRPr="00974F97">
        <w:rPr>
          <w:b/>
        </w:rPr>
        <w:t xml:space="preserve"> corrections</w:t>
      </w:r>
      <w:r>
        <w:t xml:space="preserve"> to </w:t>
      </w:r>
      <w:r w:rsidRPr="00F12161">
        <w:t>confirm where the diff</w:t>
      </w:r>
      <w:r>
        <w:t>erenc</w:t>
      </w:r>
      <w:r w:rsidR="00AB3415">
        <w:t>es occurred between groups. These</w:t>
      </w:r>
      <w:r>
        <w:t xml:space="preserve"> follow-up tests are usually</w:t>
      </w:r>
      <w:r w:rsidRPr="00F12161">
        <w:t xml:space="preserve"> </w:t>
      </w:r>
      <w:r>
        <w:t xml:space="preserve">performed </w:t>
      </w:r>
      <w:r w:rsidRPr="00F12161">
        <w:t xml:space="preserve">when </w:t>
      </w:r>
      <w:r>
        <w:t>a</w:t>
      </w:r>
      <w:r w:rsidR="00AB3415">
        <w:t>n</w:t>
      </w:r>
      <w:r w:rsidRPr="00F12161">
        <w:t xml:space="preserve"> overall statistically significant difference in group means</w:t>
      </w:r>
      <w:r>
        <w:t xml:space="preserve"> is found and allow</w:t>
      </w:r>
      <w:r w:rsidR="00AB3415">
        <w:t>s</w:t>
      </w:r>
      <w:r>
        <w:t xml:space="preserve"> control</w:t>
      </w:r>
      <w:r w:rsidR="00AB3415">
        <w:t xml:space="preserve"> of</w:t>
      </w:r>
      <w:r>
        <w:t xml:space="preserve"> the </w:t>
      </w:r>
      <w:r w:rsidRPr="00661209">
        <w:t>experiment wise error rate</w:t>
      </w:r>
      <w:r>
        <w:t xml:space="preserve"> (usually alpha = 0.05).</w:t>
      </w:r>
    </w:p>
    <w:p w14:paraId="18639DBE" w14:textId="77777777" w:rsidR="00974F97" w:rsidRDefault="00974F97" w:rsidP="00974F97">
      <w:pPr>
        <w:pStyle w:val="ListParagraph"/>
      </w:pPr>
    </w:p>
    <w:p w14:paraId="40A74E13" w14:textId="62730B36" w:rsidR="00974F97" w:rsidRDefault="00974F97" w:rsidP="00974F97">
      <w:pPr>
        <w:pStyle w:val="ListParagraph"/>
        <w:numPr>
          <w:ilvl w:val="1"/>
          <w:numId w:val="18"/>
        </w:numPr>
      </w:pPr>
      <w:r w:rsidRPr="00974F97">
        <w:rPr>
          <w:b/>
        </w:rPr>
        <w:t>Modelling continuous longitudinal data</w:t>
      </w:r>
      <w:r w:rsidRPr="00974F97">
        <w:t xml:space="preserve"> - using the predictor variables from stage 1 (model specification) and weekly response rates (with 5 time points) for all LSOAs in England and Wales perform a Mixed-effects Regression Model. Assess the model fit and evaluate significant main and interaction effects. </w:t>
      </w:r>
    </w:p>
    <w:p w14:paraId="6D6B16C0" w14:textId="279D98E1" w:rsidR="00642C31" w:rsidRDefault="00974F97" w:rsidP="004F41D7">
      <w:pPr>
        <w:pStyle w:val="Heading1"/>
        <w:numPr>
          <w:ilvl w:val="0"/>
          <w:numId w:val="10"/>
        </w:numPr>
        <w:spacing w:before="0" w:after="240"/>
        <w:rPr>
          <w:rFonts w:asciiTheme="minorHAnsi" w:hAnsiTheme="minorHAnsi"/>
          <w:color w:val="00000A"/>
          <w:lang w:val="en-GB"/>
        </w:rPr>
      </w:pPr>
      <w:bookmarkStart w:id="6" w:name="_Toc10633585"/>
      <w:r>
        <w:rPr>
          <w:rFonts w:asciiTheme="minorHAnsi" w:hAnsiTheme="minorHAnsi"/>
          <w:color w:val="00000A"/>
          <w:lang w:val="en-GB"/>
        </w:rPr>
        <w:t>Preliminary results</w:t>
      </w:r>
      <w:bookmarkEnd w:id="6"/>
    </w:p>
    <w:p w14:paraId="4054BA83" w14:textId="77777777" w:rsidR="00E31004" w:rsidRPr="00E31004" w:rsidRDefault="00E31004" w:rsidP="00E31004">
      <w:pPr>
        <w:rPr>
          <w:b/>
          <w:lang w:val="en-GB"/>
        </w:rPr>
      </w:pPr>
      <w:r w:rsidRPr="00E31004">
        <w:rPr>
          <w:b/>
          <w:lang w:val="en-GB"/>
        </w:rPr>
        <w:t>Cluster Analysis</w:t>
      </w:r>
    </w:p>
    <w:p w14:paraId="0D8409B0" w14:textId="1DB0B511" w:rsidR="00EC396D" w:rsidRDefault="007B0BF0" w:rsidP="00885FFA">
      <w:pPr>
        <w:jc w:val="both"/>
      </w:pPr>
      <w:r>
        <w:t xml:space="preserve">A cluster analysis </w:t>
      </w:r>
      <w:r w:rsidR="00EC396D">
        <w:t>(two step cluster) was performed using SPSS version 23 u</w:t>
      </w:r>
      <w:r w:rsidR="00AB3415">
        <w:t xml:space="preserve">sing </w:t>
      </w:r>
      <w:bookmarkStart w:id="7" w:name="_Hlk9513978"/>
      <w:r w:rsidR="00AB3415">
        <w:t xml:space="preserve">the categorical variable </w:t>
      </w:r>
      <w:r w:rsidR="00C03A77">
        <w:t>HtC</w:t>
      </w:r>
      <w:r w:rsidR="00EC396D">
        <w:t xml:space="preserve"> and the continuous variables: response in the week before, during and after the Census in 2011</w:t>
      </w:r>
      <w:bookmarkEnd w:id="7"/>
      <w:r w:rsidR="00EC396D">
        <w:t xml:space="preserve">. </w:t>
      </w:r>
      <w:r w:rsidR="001F6B1B">
        <w:t xml:space="preserve"> </w:t>
      </w:r>
    </w:p>
    <w:p w14:paraId="1D744D1A" w14:textId="57CF382B" w:rsidR="00EC396D" w:rsidRDefault="008D68A4" w:rsidP="00885FFA">
      <w:pPr>
        <w:jc w:val="both"/>
      </w:pPr>
      <w:r>
        <w:t>Results from th</w:t>
      </w:r>
      <w:r w:rsidR="00661209">
        <w:t>is</w:t>
      </w:r>
      <w:r>
        <w:t xml:space="preserve"> suggest </w:t>
      </w:r>
      <w:r w:rsidR="005C4CAE">
        <w:t xml:space="preserve">the existence of </w:t>
      </w:r>
      <w:r>
        <w:t xml:space="preserve">5 different </w:t>
      </w:r>
      <w:r w:rsidR="005C4CAE">
        <w:t xml:space="preserve">response </w:t>
      </w:r>
      <w:r>
        <w:t>cluster</w:t>
      </w:r>
      <w:r w:rsidR="005C4CAE">
        <w:t>s</w:t>
      </w:r>
      <w:r>
        <w:t xml:space="preserve"> </w:t>
      </w:r>
      <w:r w:rsidR="005C4CAE">
        <w:t>(figure 2</w:t>
      </w:r>
      <w:r w:rsidR="00730250">
        <w:t xml:space="preserve"> and </w:t>
      </w:r>
      <w:r w:rsidR="00AB3415">
        <w:t>table 1</w:t>
      </w:r>
      <w:r w:rsidR="00730250">
        <w:t>).</w:t>
      </w:r>
    </w:p>
    <w:p w14:paraId="43AAAE2D" w14:textId="77777777" w:rsidR="004F41D7" w:rsidRDefault="004F41D7" w:rsidP="00885FFA">
      <w:pPr>
        <w:jc w:val="both"/>
      </w:pPr>
    </w:p>
    <w:p w14:paraId="11BE9FB6" w14:textId="6F37C9B7" w:rsidR="005C4CAE" w:rsidRDefault="005C4CAE" w:rsidP="00A16378">
      <w:r>
        <w:t xml:space="preserve">Figure 2. 5 clusters derived from the two-step procedure using </w:t>
      </w:r>
      <w:r w:rsidR="00C03A77">
        <w:t>H</w:t>
      </w:r>
      <w:r w:rsidR="002842CA">
        <w:t>t</w:t>
      </w:r>
      <w:r w:rsidR="00C03A77">
        <w:t>C</w:t>
      </w:r>
      <w:r>
        <w:t xml:space="preserve"> as categorical variable and LSOA response during 3 consecutive weeks (before, during and after Census)</w:t>
      </w:r>
    </w:p>
    <w:p w14:paraId="5901C49C" w14:textId="77777777" w:rsidR="005C4CAE" w:rsidRDefault="005C4CAE" w:rsidP="000C2E42">
      <w:pPr>
        <w:jc w:val="center"/>
      </w:pPr>
      <w:r>
        <w:rPr>
          <w:noProof/>
        </w:rPr>
        <w:drawing>
          <wp:inline distT="0" distB="0" distL="0" distR="0" wp14:anchorId="0D8F21F1" wp14:editId="4715E362">
            <wp:extent cx="4584700" cy="275590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p>
    <w:p w14:paraId="6730DDB4" w14:textId="736CA723" w:rsidR="000C2E42" w:rsidRDefault="000C2E42" w:rsidP="000C2E42">
      <w:r>
        <w:t>Figure 2. Clusters (5) derived from the two-step procedure using HtC as categorical variable and LSOA response during 3 consecutive weeks (before, during and after Census)</w:t>
      </w:r>
    </w:p>
    <w:p w14:paraId="740E1961" w14:textId="77777777" w:rsidR="000C2E42" w:rsidRDefault="000C2E42" w:rsidP="00A16378"/>
    <w:p w14:paraId="61DA7346" w14:textId="77777777" w:rsidR="00730250" w:rsidRDefault="00730250" w:rsidP="000C2E42">
      <w:pPr>
        <w:jc w:val="center"/>
      </w:pPr>
      <w:r>
        <w:rPr>
          <w:noProof/>
        </w:rPr>
        <w:lastRenderedPageBreak/>
        <w:drawing>
          <wp:inline distT="0" distB="0" distL="0" distR="0" wp14:anchorId="2DC0EF5C" wp14:editId="5DAB5E35">
            <wp:extent cx="3670300" cy="2018030"/>
            <wp:effectExtent l="0" t="0" r="6350" b="127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670300" cy="2018030"/>
                    </a:xfrm>
                    <a:prstGeom prst="rect">
                      <a:avLst/>
                    </a:prstGeom>
                    <a:noFill/>
                  </pic:spPr>
                </pic:pic>
              </a:graphicData>
            </a:graphic>
          </wp:inline>
        </w:drawing>
      </w:r>
    </w:p>
    <w:p w14:paraId="13267628" w14:textId="77777777" w:rsidR="000C2E42" w:rsidRDefault="000C2E42" w:rsidP="000C2E42">
      <w:r>
        <w:t>Table 1. Distribution of LSOAs for each cluster.</w:t>
      </w:r>
    </w:p>
    <w:p w14:paraId="52DE439E" w14:textId="77777777" w:rsidR="0011413F" w:rsidRPr="0011413F" w:rsidRDefault="0011413F" w:rsidP="00A16378">
      <w:pPr>
        <w:rPr>
          <w:b/>
        </w:rPr>
      </w:pPr>
      <w:r w:rsidRPr="0011413F">
        <w:rPr>
          <w:b/>
        </w:rPr>
        <w:t xml:space="preserve">Cluster solution </w:t>
      </w:r>
    </w:p>
    <w:p w14:paraId="33D4D4A6" w14:textId="640B4659" w:rsidR="00730250" w:rsidRDefault="0011413F" w:rsidP="00885FFA">
      <w:pPr>
        <w:jc w:val="both"/>
      </w:pPr>
      <w:r>
        <w:t xml:space="preserve">From </w:t>
      </w:r>
      <w:r w:rsidR="00AB3415">
        <w:t>table 1</w:t>
      </w:r>
      <w:r>
        <w:t xml:space="preserve"> we can see that t</w:t>
      </w:r>
      <w:r w:rsidR="00730250">
        <w:t>he 1</w:t>
      </w:r>
      <w:r w:rsidR="00730250" w:rsidRPr="00730250">
        <w:rPr>
          <w:vertAlign w:val="superscript"/>
        </w:rPr>
        <w:t>st</w:t>
      </w:r>
      <w:r>
        <w:t xml:space="preserve"> Cluster</w:t>
      </w:r>
      <w:r w:rsidR="00761079">
        <w:t xml:space="preserve"> (</w:t>
      </w:r>
      <w:r w:rsidR="009C06CD">
        <w:t>entirely composed of LSOAs in HtC 1)</w:t>
      </w:r>
      <w:r>
        <w:t xml:space="preserve"> includes</w:t>
      </w:r>
      <w:r w:rsidR="00730250">
        <w:t xml:space="preserve"> more than 37% of the</w:t>
      </w:r>
      <w:r w:rsidR="005307EE">
        <w:t xml:space="preserve"> sample of </w:t>
      </w:r>
      <w:r w:rsidR="001E6406">
        <w:t xml:space="preserve">all </w:t>
      </w:r>
      <w:r w:rsidR="005307EE">
        <w:t xml:space="preserve">LSOAs </w:t>
      </w:r>
      <w:r w:rsidR="001E6406">
        <w:t xml:space="preserve">in England and Wales </w:t>
      </w:r>
      <w:r w:rsidR="005307EE">
        <w:t>(13</w:t>
      </w:r>
      <w:r w:rsidR="00D80ED8">
        <w:t>,</w:t>
      </w:r>
      <w:r w:rsidR="005307EE">
        <w:t>009</w:t>
      </w:r>
      <w:r w:rsidR="00761079">
        <w:t xml:space="preserve">). </w:t>
      </w:r>
      <w:r w:rsidR="001E6406">
        <w:t>In terms of respond</w:t>
      </w:r>
      <w:r w:rsidR="0085638D">
        <w:t>ant</w:t>
      </w:r>
      <w:r w:rsidR="001E6406">
        <w:t xml:space="preserve"> behavior, t</w:t>
      </w:r>
      <w:r w:rsidR="005307EE">
        <w:t>his cluster is characterized by a significant peak in the Census week</w:t>
      </w:r>
      <w:r w:rsidR="001E6406">
        <w:t>end</w:t>
      </w:r>
      <w:r w:rsidR="005307EE">
        <w:t xml:space="preserve"> (nearly 51% of all self-response occurs in this period), followed by the week after census (around 12%) and the week before Census (around 8.25%).</w:t>
      </w:r>
      <w:r w:rsidR="001E6406">
        <w:t xml:space="preserve"> This very willing and engaged cohort appears to be mainly driven by the Census reference day</w:t>
      </w:r>
      <w:r w:rsidR="0085638D">
        <w:t>.</w:t>
      </w:r>
    </w:p>
    <w:p w14:paraId="06EEAC64" w14:textId="5A4FF0B2" w:rsidR="00B5685A" w:rsidRDefault="0011413F" w:rsidP="00885FFA">
      <w:pPr>
        <w:jc w:val="both"/>
      </w:pPr>
      <w:r>
        <w:t>T</w:t>
      </w:r>
      <w:r w:rsidR="005307EE">
        <w:t>he 2</w:t>
      </w:r>
      <w:r w:rsidR="005307EE" w:rsidRPr="005307EE">
        <w:rPr>
          <w:vertAlign w:val="superscript"/>
        </w:rPr>
        <w:t>nd</w:t>
      </w:r>
      <w:r w:rsidR="005307EE">
        <w:t xml:space="preserve"> Cluster </w:t>
      </w:r>
      <w:r>
        <w:t>reveals a very different pattern. It represents</w:t>
      </w:r>
      <w:r w:rsidR="005307EE">
        <w:t xml:space="preserve"> </w:t>
      </w:r>
      <w:r w:rsidR="001E6406">
        <w:t xml:space="preserve">a group of </w:t>
      </w:r>
      <w:r w:rsidR="005307EE">
        <w:t>1</w:t>
      </w:r>
      <w:r w:rsidR="002842CA">
        <w:t>,</w:t>
      </w:r>
      <w:r w:rsidR="005307EE">
        <w:t xml:space="preserve">791 LSOAs </w:t>
      </w:r>
      <w:r>
        <w:t xml:space="preserve">extracted from </w:t>
      </w:r>
      <w:r w:rsidR="00C03A77">
        <w:t>HtC</w:t>
      </w:r>
      <w:r>
        <w:t xml:space="preserve"> 1 (6.4%), </w:t>
      </w:r>
      <w:r w:rsidR="00C03A77">
        <w:t>H</w:t>
      </w:r>
      <w:r w:rsidR="002842CA">
        <w:t>t</w:t>
      </w:r>
      <w:r w:rsidR="00C03A77">
        <w:t>C</w:t>
      </w:r>
      <w:r>
        <w:t xml:space="preserve"> 2 (5.6%), </w:t>
      </w:r>
      <w:r w:rsidR="00C03A77">
        <w:t>H</w:t>
      </w:r>
      <w:r w:rsidR="002842CA">
        <w:t>t</w:t>
      </w:r>
      <w:r w:rsidR="00C03A77">
        <w:t>C</w:t>
      </w:r>
      <w:r>
        <w:t xml:space="preserve"> 3 (2.8%) and </w:t>
      </w:r>
      <w:r w:rsidR="00C03A77">
        <w:t>H</w:t>
      </w:r>
      <w:r w:rsidR="002842CA">
        <w:t>t</w:t>
      </w:r>
      <w:r w:rsidR="00C03A77">
        <w:t>C</w:t>
      </w:r>
      <w:r>
        <w:t xml:space="preserve"> 4 (0.7%). The response shape </w:t>
      </w:r>
      <w:r w:rsidR="00C94196">
        <w:t xml:space="preserve">for this cluster </w:t>
      </w:r>
      <w:r>
        <w:t xml:space="preserve">shows that </w:t>
      </w:r>
      <w:r w:rsidR="00AB3415">
        <w:t>the peak in c</w:t>
      </w:r>
      <w:r w:rsidR="005307EE">
        <w:t xml:space="preserve">ensus week </w:t>
      </w:r>
      <w:r>
        <w:t>fades</w:t>
      </w:r>
      <w:r w:rsidR="005307EE">
        <w:t xml:space="preserve"> (32.5%) </w:t>
      </w:r>
      <w:r>
        <w:t xml:space="preserve">when compared with cluster </w:t>
      </w:r>
      <w:r w:rsidR="00C94196">
        <w:t>1</w:t>
      </w:r>
      <w:r w:rsidR="005307EE">
        <w:t xml:space="preserve"> and transfers </w:t>
      </w:r>
      <w:r w:rsidR="00B5685A">
        <w:t>response</w:t>
      </w:r>
      <w:r w:rsidR="005307EE">
        <w:t xml:space="preserve"> </w:t>
      </w:r>
      <w:r w:rsidR="00B5685A">
        <w:t xml:space="preserve">(nearly 30%) </w:t>
      </w:r>
      <w:r w:rsidR="005307EE">
        <w:t xml:space="preserve">to the week </w:t>
      </w:r>
      <w:r w:rsidR="00AB3415">
        <w:t>after c</w:t>
      </w:r>
      <w:r w:rsidR="00B5685A">
        <w:t>ensus</w:t>
      </w:r>
      <w:r w:rsidR="005307EE">
        <w:t xml:space="preserve">. </w:t>
      </w:r>
    </w:p>
    <w:p w14:paraId="0D5821C4" w14:textId="1F96B567" w:rsidR="00E55BC3" w:rsidRDefault="00B5685A" w:rsidP="00885FFA">
      <w:pPr>
        <w:jc w:val="both"/>
      </w:pPr>
      <w:r>
        <w:t>The remaining c</w:t>
      </w:r>
      <w:r w:rsidR="005307EE">
        <w:t>lusters</w:t>
      </w:r>
      <w:r>
        <w:t>,</w:t>
      </w:r>
      <w:r w:rsidR="005307EE">
        <w:t xml:space="preserve"> number 3 (3</w:t>
      </w:r>
      <w:r w:rsidR="002842CA">
        <w:t>,</w:t>
      </w:r>
      <w:r w:rsidR="005307EE">
        <w:t>380 LSOAs), 4</w:t>
      </w:r>
      <w:r w:rsidR="00E55BC3">
        <w:t xml:space="preserve"> </w:t>
      </w:r>
      <w:r w:rsidR="005307EE">
        <w:t>(</w:t>
      </w:r>
      <w:r w:rsidR="00E55BC3">
        <w:t>3</w:t>
      </w:r>
      <w:r w:rsidR="002842CA">
        <w:t>,</w:t>
      </w:r>
      <w:r w:rsidR="00E55BC3">
        <w:t xml:space="preserve">456 LSOAs) </w:t>
      </w:r>
      <w:r w:rsidR="005307EE">
        <w:t xml:space="preserve">and 5 </w:t>
      </w:r>
      <w:r w:rsidR="00E55BC3">
        <w:t>(13</w:t>
      </w:r>
      <w:r w:rsidR="002842CA">
        <w:t>,</w:t>
      </w:r>
      <w:r w:rsidR="00E55BC3">
        <w:t>117 LSOAs)</w:t>
      </w:r>
      <w:r>
        <w:t>,</w:t>
      </w:r>
      <w:r w:rsidR="00E55BC3">
        <w:t xml:space="preserve"> </w:t>
      </w:r>
      <w:r w:rsidR="00885FFA">
        <w:t>show a</w:t>
      </w:r>
      <w:r w:rsidR="00E55BC3">
        <w:t xml:space="preserve"> very similar pattern during the week before and the week after Census</w:t>
      </w:r>
      <w:r w:rsidR="005307EE">
        <w:t xml:space="preserve"> </w:t>
      </w:r>
      <w:r w:rsidR="00E55BC3">
        <w:t xml:space="preserve">with around 9% before and 12% after. The main difference between these clusters appears to be the amount of response reached in the Census week (see </w:t>
      </w:r>
      <w:r w:rsidR="00B71ABB">
        <w:t>figure 2</w:t>
      </w:r>
      <w:r w:rsidR="00E55BC3">
        <w:t xml:space="preserve"> for further information)</w:t>
      </w:r>
      <w:r w:rsidR="00661209">
        <w:t>.</w:t>
      </w:r>
    </w:p>
    <w:p w14:paraId="643C9A44" w14:textId="77777777" w:rsidR="00E55BC3" w:rsidRDefault="00E55BC3" w:rsidP="000C2E42">
      <w:pPr>
        <w:jc w:val="center"/>
      </w:pPr>
      <w:r>
        <w:rPr>
          <w:noProof/>
        </w:rPr>
        <w:drawing>
          <wp:inline distT="0" distB="0" distL="0" distR="0" wp14:anchorId="124A0387" wp14:editId="3C761794">
            <wp:extent cx="6212205" cy="141414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212205" cy="1414145"/>
                    </a:xfrm>
                    <a:prstGeom prst="rect">
                      <a:avLst/>
                    </a:prstGeom>
                    <a:noFill/>
                  </pic:spPr>
                </pic:pic>
              </a:graphicData>
            </a:graphic>
          </wp:inline>
        </w:drawing>
      </w:r>
    </w:p>
    <w:p w14:paraId="3C4E0436" w14:textId="77777777" w:rsidR="000C2E42" w:rsidRDefault="000C2E42" w:rsidP="000C2E42">
      <w:r>
        <w:t>Table 2. Frequency table with the distribution of cluster by HtC.</w:t>
      </w:r>
    </w:p>
    <w:p w14:paraId="1B197FF1" w14:textId="77777777" w:rsidR="000C2E42" w:rsidRDefault="000C2E42" w:rsidP="00885FFA">
      <w:pPr>
        <w:jc w:val="both"/>
      </w:pPr>
    </w:p>
    <w:p w14:paraId="03F70B75" w14:textId="32B66A51" w:rsidR="00E31004" w:rsidRDefault="00141C97" w:rsidP="00885FFA">
      <w:pPr>
        <w:jc w:val="both"/>
      </w:pPr>
      <w:r>
        <w:lastRenderedPageBreak/>
        <w:t xml:space="preserve">Following the cluster analysis, a discriminant analysis was performed using the cluster classification as criterion. This analysis confirmed the cluster solution (with 5 different clusters) and the </w:t>
      </w:r>
      <w:r w:rsidRPr="00A16378">
        <w:t>accuracy of the classification</w:t>
      </w:r>
      <w:r>
        <w:t xml:space="preserve">. This confirms the existence of significant </w:t>
      </w:r>
      <w:r w:rsidR="00A16378" w:rsidRPr="00A16378">
        <w:t xml:space="preserve">differences </w:t>
      </w:r>
      <w:r>
        <w:t>between groups of L</w:t>
      </w:r>
      <w:r w:rsidR="00AB3415">
        <w:t xml:space="preserve">SOAs considering the variable </w:t>
      </w:r>
      <w:r w:rsidR="00C03A77">
        <w:t>HtC</w:t>
      </w:r>
      <w:r>
        <w:t xml:space="preserve"> and the response during the </w:t>
      </w:r>
      <w:r w:rsidR="00AB3415">
        <w:t>two</w:t>
      </w:r>
      <w:r w:rsidR="008578C7">
        <w:t xml:space="preserve"> weeks around Census. W</w:t>
      </w:r>
      <w:r>
        <w:t>e also found that other models</w:t>
      </w:r>
      <w:r w:rsidR="008578C7">
        <w:t>,</w:t>
      </w:r>
      <w:r>
        <w:t xml:space="preserve"> </w:t>
      </w:r>
      <w:r w:rsidR="008578C7">
        <w:t xml:space="preserve">which </w:t>
      </w:r>
      <w:r w:rsidR="00E31004">
        <w:t>includ</w:t>
      </w:r>
      <w:r w:rsidR="008578C7">
        <w:t>ed</w:t>
      </w:r>
      <w:r>
        <w:t xml:space="preserve"> more predictor variab</w:t>
      </w:r>
      <w:r w:rsidR="008578C7">
        <w:t>les, did not converge within the recommended number of ten iterations using the cluster a</w:t>
      </w:r>
      <w:r>
        <w:t>nalysis</w:t>
      </w:r>
      <w:r w:rsidR="008578C7">
        <w:t>.</w:t>
      </w:r>
      <w:r w:rsidR="00E31004">
        <w:t xml:space="preserve"> </w:t>
      </w:r>
    </w:p>
    <w:p w14:paraId="377F386F" w14:textId="77777777" w:rsidR="0056557B" w:rsidRDefault="0056557B" w:rsidP="00A16378"/>
    <w:p w14:paraId="26A4C541" w14:textId="77777777" w:rsidR="00A16378" w:rsidRPr="00E31004" w:rsidRDefault="00E31004" w:rsidP="00A16378">
      <w:pPr>
        <w:rPr>
          <w:b/>
          <w:lang w:val="en-GB"/>
        </w:rPr>
      </w:pPr>
      <w:r w:rsidRPr="00E31004">
        <w:rPr>
          <w:b/>
          <w:lang w:val="en-GB"/>
        </w:rPr>
        <w:t>Multiple Regression</w:t>
      </w:r>
    </w:p>
    <w:p w14:paraId="1A301AAB" w14:textId="7A54BEFF" w:rsidR="0056557B" w:rsidRDefault="008578C7" w:rsidP="00DF6AA7">
      <w:pPr>
        <w:jc w:val="both"/>
      </w:pPr>
      <w:r>
        <w:t>A</w:t>
      </w:r>
      <w:r w:rsidR="00E31004">
        <w:t xml:space="preserve"> limitation </w:t>
      </w:r>
      <w:r>
        <w:t>of</w:t>
      </w:r>
      <w:r w:rsidR="00B5685A">
        <w:t xml:space="preserve"> the cluster analysis </w:t>
      </w:r>
      <w:r>
        <w:t>is that i</w:t>
      </w:r>
      <w:r w:rsidR="00B5685A">
        <w:t>t does not provide information about the possible effect</w:t>
      </w:r>
      <w:r>
        <w:t xml:space="preserve">s from other variables. </w:t>
      </w:r>
      <w:r w:rsidR="00D21714">
        <w:t>T</w:t>
      </w:r>
      <w:r>
        <w:t>herefore</w:t>
      </w:r>
      <w:r w:rsidR="00E76832">
        <w:t>,</w:t>
      </w:r>
      <w:r>
        <w:t xml:space="preserve"> </w:t>
      </w:r>
      <w:r w:rsidR="00E31004">
        <w:t xml:space="preserve">a </w:t>
      </w:r>
      <w:r w:rsidR="00DF6AA7">
        <w:t>m</w:t>
      </w:r>
      <w:r w:rsidR="00DF6AA7" w:rsidRPr="0026419C">
        <w:t>ultiple regression</w:t>
      </w:r>
      <w:r w:rsidR="00DF6AA7">
        <w:t xml:space="preserve"> (GLM)</w:t>
      </w:r>
      <w:r w:rsidR="00E76832">
        <w:t xml:space="preserve"> </w:t>
      </w:r>
      <w:r w:rsidR="00D21714">
        <w:t>was used subsequently</w:t>
      </w:r>
      <w:r>
        <w:t>,</w:t>
      </w:r>
      <w:r w:rsidR="00DF6AA7" w:rsidRPr="0026419C">
        <w:t xml:space="preserve"> </w:t>
      </w:r>
      <w:r w:rsidR="00D21714">
        <w:t>with the aim</w:t>
      </w:r>
      <w:r w:rsidR="00B5685A">
        <w:t xml:space="preserve"> to predict the variance in response due to the influence of </w:t>
      </w:r>
      <w:r w:rsidR="00D21714">
        <w:t>established</w:t>
      </w:r>
      <w:r w:rsidR="00B5685A">
        <w:t xml:space="preserve"> predictor variables.</w:t>
      </w:r>
      <w:r w:rsidR="0056557B">
        <w:t xml:space="preserve"> This procedure </w:t>
      </w:r>
      <w:r w:rsidR="00D21714">
        <w:t xml:space="preserve">is </w:t>
      </w:r>
      <w:r w:rsidR="0056557B">
        <w:t xml:space="preserve">appropriate at this stage, as it provides information about the </w:t>
      </w:r>
      <w:r w:rsidR="00DF6AA7" w:rsidRPr="00DA0D1E">
        <w:t>overall fit (v</w:t>
      </w:r>
      <w:r w:rsidR="00B5685A">
        <w:t xml:space="preserve">ariance explained) of the model, </w:t>
      </w:r>
      <w:r w:rsidR="00DF6AA7" w:rsidRPr="00DA0D1E">
        <w:t xml:space="preserve">the relative contribution of each of the predictors </w:t>
      </w:r>
      <w:r w:rsidR="00B5685A">
        <w:t>to the total variance explained</w:t>
      </w:r>
      <w:r>
        <w:t>,</w:t>
      </w:r>
      <w:r w:rsidR="00B5685A">
        <w:t xml:space="preserve"> and produce</w:t>
      </w:r>
      <w:r>
        <w:t>s</w:t>
      </w:r>
      <w:r w:rsidR="00B5685A">
        <w:t xml:space="preserve"> estimates based on group distinctions.</w:t>
      </w:r>
    </w:p>
    <w:p w14:paraId="427BD39C" w14:textId="742CFC1B" w:rsidR="0056557B" w:rsidRDefault="00B5685A" w:rsidP="00DF6AA7">
      <w:pPr>
        <w:jc w:val="both"/>
      </w:pPr>
      <w:r>
        <w:t>The</w:t>
      </w:r>
      <w:r w:rsidR="008578C7">
        <w:t xml:space="preserve"> first model included</w:t>
      </w:r>
      <w:r w:rsidR="0056557B">
        <w:t xml:space="preserve"> the </w:t>
      </w:r>
      <w:r>
        <w:t>entire sample of LSOAs (34</w:t>
      </w:r>
      <w:r w:rsidR="002842CA">
        <w:t>,</w:t>
      </w:r>
      <w:r>
        <w:t>753) from the 2011 Census.</w:t>
      </w:r>
      <w:r w:rsidR="0056557B">
        <w:t xml:space="preserve"> </w:t>
      </w:r>
      <w:r>
        <w:t>T</w:t>
      </w:r>
      <w:r w:rsidR="00DF6AA7" w:rsidRPr="0026419C">
        <w:t xml:space="preserve">he </w:t>
      </w:r>
      <w:r w:rsidR="0056557B">
        <w:t xml:space="preserve">outcome </w:t>
      </w:r>
      <w:r w:rsidR="00DF6AA7" w:rsidRPr="0026419C">
        <w:t xml:space="preserve">variable </w:t>
      </w:r>
      <w:r w:rsidR="00DF6AA7">
        <w:t xml:space="preserve">was the response rate at day 10 after </w:t>
      </w:r>
      <w:r w:rsidR="008578C7">
        <w:t>c</w:t>
      </w:r>
      <w:r w:rsidR="00DF6AA7">
        <w:t>ensus day (before the field force start</w:t>
      </w:r>
      <w:r w:rsidR="0032619B">
        <w:t>ed</w:t>
      </w:r>
      <w:r w:rsidR="00DF6AA7">
        <w:t xml:space="preserve"> – 6</w:t>
      </w:r>
      <w:r w:rsidR="00DF6AA7" w:rsidRPr="0026419C">
        <w:rPr>
          <w:vertAlign w:val="superscript"/>
        </w:rPr>
        <w:t>th</w:t>
      </w:r>
      <w:r w:rsidR="00DF6AA7">
        <w:t xml:space="preserve"> April 2011) </w:t>
      </w:r>
      <w:r w:rsidR="0056557B">
        <w:t>aiming to evaluate the impact of the predictor variables only</w:t>
      </w:r>
      <w:r>
        <w:t xml:space="preserve">. This selection strategy was </w:t>
      </w:r>
      <w:r w:rsidR="00D21714">
        <w:t>employed</w:t>
      </w:r>
      <w:r>
        <w:t xml:space="preserve"> to remove</w:t>
      </w:r>
      <w:r w:rsidR="0056557B">
        <w:t xml:space="preserve"> the possible effect from co</w:t>
      </w:r>
      <w:r w:rsidR="0032619B">
        <w:t>n</w:t>
      </w:r>
      <w:r w:rsidR="0056557B">
        <w:t xml:space="preserve">founding variables associated </w:t>
      </w:r>
      <w:r w:rsidR="008578C7">
        <w:t>with</w:t>
      </w:r>
      <w:r w:rsidR="0056557B">
        <w:t xml:space="preserve"> the max</w:t>
      </w:r>
      <w:r>
        <w:t xml:space="preserve">imizing response interventions </w:t>
      </w:r>
      <w:r w:rsidR="008578C7">
        <w:t xml:space="preserve">used </w:t>
      </w:r>
      <w:r>
        <w:t>during the 2011 Census collection period.</w:t>
      </w:r>
    </w:p>
    <w:p w14:paraId="2371D812" w14:textId="447B1075" w:rsidR="00DF6AA7" w:rsidRDefault="0056557B" w:rsidP="00DF6AA7">
      <w:pPr>
        <w:jc w:val="both"/>
      </w:pPr>
      <w:r>
        <w:t>U</w:t>
      </w:r>
      <w:r w:rsidR="00DF6AA7">
        <w:t xml:space="preserve">sing several demographic variables from the 2011 Census and the new </w:t>
      </w:r>
      <w:r w:rsidR="00C03A77">
        <w:t>HtC</w:t>
      </w:r>
      <w:r w:rsidR="00DF6AA7">
        <w:t xml:space="preserve"> </w:t>
      </w:r>
      <w:r w:rsidR="009941B8">
        <w:t>classification</w:t>
      </w:r>
      <w:r w:rsidR="00DF6AA7">
        <w:t xml:space="preserve"> for the 2021 Census</w:t>
      </w:r>
      <w:r w:rsidR="008578C7">
        <w:t>,</w:t>
      </w:r>
      <w:r>
        <w:t xml:space="preserve"> a regression model was developed</w:t>
      </w:r>
      <w:r w:rsidR="00DF6AA7">
        <w:t xml:space="preserve">. Equation (1) </w:t>
      </w:r>
      <w:r>
        <w:t>summarizes</w:t>
      </w:r>
      <w:r w:rsidR="00DF6AA7">
        <w:t xml:space="preserve"> the proposed regression model:</w:t>
      </w:r>
    </w:p>
    <w:p w14:paraId="617B008E" w14:textId="77777777" w:rsidR="009941B8" w:rsidRDefault="009941B8" w:rsidP="00DF6AA7">
      <w:pPr>
        <w:jc w:val="both"/>
      </w:pPr>
    </w:p>
    <w:p w14:paraId="46D13581" w14:textId="1988E2EA" w:rsidR="00DF6AA7" w:rsidRPr="00A67598" w:rsidRDefault="008578C7" w:rsidP="008578C7">
      <w:pPr>
        <w:rPr>
          <w:rFonts w:cstheme="minorHAnsi"/>
          <w:i/>
          <w:sz w:val="24"/>
          <w:szCs w:val="24"/>
        </w:rPr>
      </w:pPr>
      <w:r w:rsidRPr="008578C7">
        <w:rPr>
          <w:i/>
          <w:sz w:val="24"/>
          <w:szCs w:val="24"/>
        </w:rPr>
        <w:t xml:space="preserve">  </w:t>
      </w:r>
      <w:r>
        <w:rPr>
          <w:i/>
          <w:sz w:val="24"/>
          <w:szCs w:val="24"/>
        </w:rPr>
        <w:t xml:space="preserve"> </w:t>
      </w:r>
      <w:r>
        <w:rPr>
          <w:i/>
          <w:sz w:val="24"/>
          <w:szCs w:val="24"/>
        </w:rPr>
        <w:tab/>
      </w:r>
      <w:r>
        <w:rPr>
          <w:i/>
          <w:sz w:val="24"/>
          <w:szCs w:val="24"/>
        </w:rPr>
        <w:tab/>
      </w:r>
      <w:r w:rsidR="00DF6AA7" w:rsidRPr="008578C7">
        <w:rPr>
          <w:i/>
          <w:sz w:val="24"/>
          <w:szCs w:val="24"/>
        </w:rPr>
        <w:t>Y</w:t>
      </w:r>
      <w:r w:rsidR="00DF6AA7" w:rsidRPr="008578C7">
        <w:rPr>
          <w:i/>
          <w:sz w:val="24"/>
          <w:szCs w:val="24"/>
          <w:vertAlign w:val="subscript"/>
        </w:rPr>
        <w:t xml:space="preserve">i </w:t>
      </w:r>
      <w:r w:rsidR="00DF6AA7" w:rsidRPr="008578C7">
        <w:rPr>
          <w:i/>
          <w:sz w:val="24"/>
          <w:szCs w:val="24"/>
        </w:rPr>
        <w:t>= α + β</w:t>
      </w:r>
      <w:r w:rsidR="00DF6AA7" w:rsidRPr="008578C7">
        <w:rPr>
          <w:i/>
          <w:sz w:val="24"/>
          <w:szCs w:val="24"/>
          <w:vertAlign w:val="subscript"/>
        </w:rPr>
        <w:t>1</w:t>
      </w:r>
      <w:r w:rsidR="00DF6AA7" w:rsidRPr="008578C7">
        <w:rPr>
          <w:i/>
          <w:sz w:val="24"/>
          <w:szCs w:val="24"/>
        </w:rPr>
        <w:t>X</w:t>
      </w:r>
      <w:r w:rsidR="00DF6AA7" w:rsidRPr="008578C7">
        <w:rPr>
          <w:i/>
          <w:sz w:val="24"/>
          <w:szCs w:val="24"/>
          <w:vertAlign w:val="subscript"/>
        </w:rPr>
        <w:t xml:space="preserve">i,1 </w:t>
      </w:r>
      <w:r w:rsidR="00DF6AA7" w:rsidRPr="008578C7">
        <w:rPr>
          <w:i/>
          <w:sz w:val="24"/>
          <w:szCs w:val="24"/>
        </w:rPr>
        <w:t>+ · · · + β</w:t>
      </w:r>
      <w:r w:rsidR="00DF6AA7" w:rsidRPr="008578C7">
        <w:rPr>
          <w:i/>
          <w:sz w:val="24"/>
          <w:szCs w:val="24"/>
          <w:vertAlign w:val="subscript"/>
        </w:rPr>
        <w:t>p</w:t>
      </w:r>
      <w:r w:rsidR="00DF6AA7" w:rsidRPr="008578C7">
        <w:rPr>
          <w:i/>
          <w:sz w:val="24"/>
          <w:szCs w:val="24"/>
        </w:rPr>
        <w:t>X</w:t>
      </w:r>
      <w:r w:rsidR="00DF6AA7" w:rsidRPr="008578C7">
        <w:rPr>
          <w:i/>
          <w:sz w:val="24"/>
          <w:szCs w:val="24"/>
          <w:vertAlign w:val="subscript"/>
        </w:rPr>
        <w:t xml:space="preserve">i,p </w:t>
      </w:r>
      <w:r w:rsidR="00DF6AA7" w:rsidRPr="008578C7">
        <w:rPr>
          <w:i/>
          <w:sz w:val="24"/>
          <w:szCs w:val="24"/>
        </w:rPr>
        <w:t xml:space="preserve">+ </w:t>
      </w:r>
      <w:r w:rsidR="00DF6AA7" w:rsidRPr="008578C7">
        <w:rPr>
          <w:rFonts w:cstheme="minorHAnsi"/>
          <w:i/>
          <w:sz w:val="24"/>
          <w:szCs w:val="24"/>
        </w:rPr>
        <w:t>Є</w:t>
      </w:r>
      <w:r w:rsidR="00DF6AA7" w:rsidRPr="008578C7">
        <w:rPr>
          <w:rFonts w:cstheme="minorHAnsi"/>
          <w:i/>
          <w:sz w:val="24"/>
          <w:szCs w:val="24"/>
          <w:vertAlign w:val="subscript"/>
        </w:rPr>
        <w:t>i</w:t>
      </w:r>
      <w:r w:rsidR="00A67598">
        <w:rPr>
          <w:rFonts w:cstheme="minorHAnsi"/>
          <w:i/>
          <w:sz w:val="24"/>
          <w:szCs w:val="24"/>
          <w:vertAlign w:val="subscript"/>
        </w:rPr>
        <w:t xml:space="preserve">     </w:t>
      </w:r>
      <w:r w:rsidR="00A67598">
        <w:rPr>
          <w:rFonts w:cstheme="minorHAnsi"/>
          <w:i/>
          <w:sz w:val="24"/>
          <w:szCs w:val="24"/>
        </w:rPr>
        <w:t xml:space="preserve">   </w:t>
      </w:r>
      <w:r w:rsidR="00A67598">
        <w:rPr>
          <w:i/>
          <w:sz w:val="24"/>
          <w:szCs w:val="24"/>
        </w:rPr>
        <w:t xml:space="preserve">  (1)</w:t>
      </w:r>
    </w:p>
    <w:p w14:paraId="62FE819C" w14:textId="77777777" w:rsidR="009941B8" w:rsidRDefault="009941B8" w:rsidP="00DF6AA7">
      <w:pPr>
        <w:rPr>
          <w:rFonts w:cstheme="minorHAnsi"/>
          <w:i/>
          <w:sz w:val="24"/>
          <w:szCs w:val="24"/>
          <w:vertAlign w:val="subscript"/>
        </w:rPr>
      </w:pPr>
    </w:p>
    <w:p w14:paraId="58BF1F27" w14:textId="38776D6D" w:rsidR="00DF6AA7" w:rsidRPr="00320C61" w:rsidRDefault="00DF6AA7" w:rsidP="00DF6AA7">
      <w:pPr>
        <w:jc w:val="both"/>
      </w:pPr>
      <w:r w:rsidRPr="00320C61">
        <w:t xml:space="preserve">Equation (1) </w:t>
      </w:r>
      <w:r>
        <w:t>contains a continuous dependent variable representing the response rate by day 10 after Census in 2011 for each LSOA in England and Wales. The predictor variables in the model include the following:</w:t>
      </w:r>
    </w:p>
    <w:p w14:paraId="371B0112" w14:textId="0636561F" w:rsidR="00DF6AA7" w:rsidRDefault="00C03A77" w:rsidP="00DF6AA7">
      <w:pPr>
        <w:pStyle w:val="ListParagraph"/>
        <w:numPr>
          <w:ilvl w:val="0"/>
          <w:numId w:val="19"/>
        </w:numPr>
        <w:spacing w:after="160" w:line="259" w:lineRule="auto"/>
      </w:pPr>
      <w:r>
        <w:t>HtC</w:t>
      </w:r>
      <w:r w:rsidR="00DF6AA7">
        <w:t xml:space="preserve"> </w:t>
      </w:r>
      <w:r w:rsidR="008578C7">
        <w:t>2021</w:t>
      </w:r>
    </w:p>
    <w:p w14:paraId="4C767013" w14:textId="77777777" w:rsidR="008578C7" w:rsidRDefault="00DF6AA7" w:rsidP="00A90AD6">
      <w:pPr>
        <w:pStyle w:val="ListParagraph"/>
        <w:numPr>
          <w:ilvl w:val="0"/>
          <w:numId w:val="19"/>
        </w:numPr>
        <w:spacing w:after="160" w:line="259" w:lineRule="auto"/>
      </w:pPr>
      <w:bookmarkStart w:id="8" w:name="_Hlk512404130"/>
      <w:r>
        <w:t xml:space="preserve">predominant age group HRP </w:t>
      </w:r>
    </w:p>
    <w:p w14:paraId="31A7FDD8" w14:textId="415EADB7" w:rsidR="00DF6AA7" w:rsidRDefault="008578C7" w:rsidP="00A90AD6">
      <w:pPr>
        <w:pStyle w:val="ListParagraph"/>
        <w:numPr>
          <w:ilvl w:val="0"/>
          <w:numId w:val="19"/>
        </w:numPr>
        <w:spacing w:after="160" w:line="259" w:lineRule="auto"/>
      </w:pPr>
      <w:r>
        <w:t>predominant gender group HRP</w:t>
      </w:r>
    </w:p>
    <w:p w14:paraId="14C2054A" w14:textId="77777777" w:rsidR="00DF6AA7" w:rsidRDefault="00DF6AA7" w:rsidP="00DF6AA7">
      <w:pPr>
        <w:pStyle w:val="ListParagraph"/>
        <w:numPr>
          <w:ilvl w:val="0"/>
          <w:numId w:val="19"/>
        </w:numPr>
        <w:spacing w:after="160" w:line="259" w:lineRule="auto"/>
      </w:pPr>
      <w:r>
        <w:t>predominant household size</w:t>
      </w:r>
    </w:p>
    <w:p w14:paraId="725195BC" w14:textId="77777777" w:rsidR="00DF6AA7" w:rsidRDefault="00DF6AA7" w:rsidP="00DF6AA7">
      <w:pPr>
        <w:pStyle w:val="ListParagraph"/>
        <w:numPr>
          <w:ilvl w:val="0"/>
          <w:numId w:val="19"/>
        </w:numPr>
        <w:spacing w:after="160" w:line="259" w:lineRule="auto"/>
      </w:pPr>
      <w:r>
        <w:t>predominant qualifications for HRP</w:t>
      </w:r>
    </w:p>
    <w:bookmarkEnd w:id="8"/>
    <w:p w14:paraId="3EEA53CB" w14:textId="77777777" w:rsidR="00DF6AA7" w:rsidRDefault="00DF6AA7" w:rsidP="00DF6AA7">
      <w:pPr>
        <w:pStyle w:val="ListParagraph"/>
      </w:pPr>
    </w:p>
    <w:p w14:paraId="3E9D6E62" w14:textId="7CD07FCE" w:rsidR="00DF6AA7" w:rsidRDefault="00DF6AA7" w:rsidP="00DF6AA7">
      <w:pPr>
        <w:jc w:val="both"/>
      </w:pPr>
      <w:r>
        <w:lastRenderedPageBreak/>
        <w:t xml:space="preserve">Interaction </w:t>
      </w:r>
      <w:r w:rsidR="009941B8">
        <w:t xml:space="preserve">effects </w:t>
      </w:r>
      <w:r>
        <w:t>between predictor variables were also considered in the model as presented</w:t>
      </w:r>
      <w:r w:rsidR="0032619B">
        <w:t xml:space="preserve"> in</w:t>
      </w:r>
      <w:r>
        <w:t xml:space="preserve"> equation (2).</w:t>
      </w:r>
    </w:p>
    <w:p w14:paraId="38A08510" w14:textId="06E15596" w:rsidR="00DF6AA7" w:rsidRDefault="00DF6AA7" w:rsidP="00A67598">
      <w:pPr>
        <w:ind w:firstLine="720"/>
        <w:rPr>
          <w:i/>
          <w:sz w:val="24"/>
          <w:szCs w:val="24"/>
        </w:rPr>
      </w:pPr>
      <w:r w:rsidRPr="007A4E46">
        <w:rPr>
          <w:i/>
          <w:sz w:val="24"/>
          <w:szCs w:val="24"/>
        </w:rPr>
        <w:t>Y</w:t>
      </w:r>
      <w:r w:rsidRPr="007A4E46">
        <w:rPr>
          <w:i/>
          <w:sz w:val="24"/>
          <w:szCs w:val="24"/>
          <w:vertAlign w:val="subscript"/>
        </w:rPr>
        <w:t>i</w:t>
      </w:r>
      <w:r w:rsidRPr="007A4E46">
        <w:rPr>
          <w:i/>
          <w:sz w:val="24"/>
          <w:szCs w:val="24"/>
        </w:rPr>
        <w:t xml:space="preserve"> = β</w:t>
      </w:r>
      <w:r w:rsidRPr="007A4E46">
        <w:rPr>
          <w:i/>
          <w:sz w:val="24"/>
          <w:szCs w:val="24"/>
          <w:vertAlign w:val="subscript"/>
        </w:rPr>
        <w:t>0</w:t>
      </w:r>
      <w:r w:rsidRPr="007A4E46">
        <w:rPr>
          <w:i/>
          <w:sz w:val="24"/>
          <w:szCs w:val="24"/>
        </w:rPr>
        <w:t xml:space="preserve"> + X</w:t>
      </w:r>
      <w:r w:rsidRPr="007A4E46">
        <w:rPr>
          <w:i/>
          <w:sz w:val="24"/>
          <w:szCs w:val="24"/>
          <w:vertAlign w:val="subscript"/>
        </w:rPr>
        <w:t>1</w:t>
      </w:r>
      <w:r w:rsidRPr="007A4E46">
        <w:rPr>
          <w:i/>
          <w:sz w:val="24"/>
          <w:szCs w:val="24"/>
        </w:rPr>
        <w:t xml:space="preserve"> β</w:t>
      </w:r>
      <w:r w:rsidRPr="007A4E46">
        <w:rPr>
          <w:i/>
          <w:sz w:val="24"/>
          <w:szCs w:val="24"/>
          <w:vertAlign w:val="subscript"/>
        </w:rPr>
        <w:t>1</w:t>
      </w:r>
      <w:r w:rsidRPr="007A4E46">
        <w:rPr>
          <w:i/>
          <w:sz w:val="24"/>
          <w:szCs w:val="24"/>
        </w:rPr>
        <w:t xml:space="preserve"> + X</w:t>
      </w:r>
      <w:r w:rsidRPr="007A4E46">
        <w:rPr>
          <w:i/>
          <w:sz w:val="24"/>
          <w:szCs w:val="24"/>
          <w:vertAlign w:val="subscript"/>
        </w:rPr>
        <w:t>2</w:t>
      </w:r>
      <w:r w:rsidRPr="007A4E46">
        <w:rPr>
          <w:i/>
          <w:sz w:val="24"/>
          <w:szCs w:val="24"/>
        </w:rPr>
        <w:t xml:space="preserve"> β</w:t>
      </w:r>
      <w:r w:rsidRPr="007A4E46">
        <w:rPr>
          <w:i/>
          <w:sz w:val="24"/>
          <w:szCs w:val="24"/>
          <w:vertAlign w:val="subscript"/>
        </w:rPr>
        <w:t>2</w:t>
      </w:r>
      <w:r w:rsidRPr="007A4E46">
        <w:rPr>
          <w:i/>
          <w:sz w:val="24"/>
          <w:szCs w:val="24"/>
        </w:rPr>
        <w:t xml:space="preserve"> + X</w:t>
      </w:r>
      <w:r w:rsidRPr="007A4E46">
        <w:rPr>
          <w:i/>
          <w:sz w:val="24"/>
          <w:szCs w:val="24"/>
          <w:vertAlign w:val="subscript"/>
        </w:rPr>
        <w:t>3</w:t>
      </w:r>
      <w:r w:rsidRPr="007A4E46">
        <w:rPr>
          <w:i/>
          <w:sz w:val="24"/>
          <w:szCs w:val="24"/>
        </w:rPr>
        <w:t xml:space="preserve"> β</w:t>
      </w:r>
      <w:r w:rsidRPr="007A4E46">
        <w:rPr>
          <w:i/>
          <w:sz w:val="24"/>
          <w:szCs w:val="24"/>
          <w:vertAlign w:val="subscript"/>
        </w:rPr>
        <w:t>3</w:t>
      </w:r>
      <w:r w:rsidRPr="007A4E46">
        <w:rPr>
          <w:i/>
          <w:sz w:val="24"/>
          <w:szCs w:val="24"/>
        </w:rPr>
        <w:t xml:space="preserve"> + X</w:t>
      </w:r>
      <w:r w:rsidRPr="007A4E46">
        <w:rPr>
          <w:i/>
          <w:sz w:val="24"/>
          <w:szCs w:val="24"/>
          <w:vertAlign w:val="subscript"/>
        </w:rPr>
        <w:t>4</w:t>
      </w:r>
      <w:r w:rsidRPr="007A4E46">
        <w:rPr>
          <w:i/>
          <w:sz w:val="24"/>
          <w:szCs w:val="24"/>
        </w:rPr>
        <w:t xml:space="preserve"> β</w:t>
      </w:r>
      <w:r w:rsidRPr="007A4E46">
        <w:rPr>
          <w:i/>
          <w:sz w:val="24"/>
          <w:szCs w:val="24"/>
          <w:vertAlign w:val="subscript"/>
        </w:rPr>
        <w:t>4</w:t>
      </w:r>
      <w:r w:rsidRPr="007A4E46">
        <w:rPr>
          <w:i/>
          <w:sz w:val="24"/>
          <w:szCs w:val="24"/>
        </w:rPr>
        <w:t xml:space="preserve"> + X</w:t>
      </w:r>
      <w:r w:rsidRPr="007A4E46">
        <w:rPr>
          <w:i/>
          <w:sz w:val="24"/>
          <w:szCs w:val="24"/>
          <w:vertAlign w:val="subscript"/>
        </w:rPr>
        <w:t>5</w:t>
      </w:r>
      <w:r w:rsidRPr="007A4E46">
        <w:rPr>
          <w:i/>
          <w:sz w:val="24"/>
          <w:szCs w:val="24"/>
        </w:rPr>
        <w:t xml:space="preserve"> β</w:t>
      </w:r>
      <w:r w:rsidRPr="007A4E46">
        <w:rPr>
          <w:i/>
          <w:sz w:val="24"/>
          <w:szCs w:val="24"/>
          <w:vertAlign w:val="subscript"/>
        </w:rPr>
        <w:t>5</w:t>
      </w:r>
      <w:r w:rsidRPr="007A4E46">
        <w:rPr>
          <w:i/>
          <w:sz w:val="24"/>
          <w:szCs w:val="24"/>
        </w:rPr>
        <w:t xml:space="preserve"> + X</w:t>
      </w:r>
      <w:r w:rsidRPr="007A4E46">
        <w:rPr>
          <w:i/>
          <w:sz w:val="24"/>
          <w:szCs w:val="24"/>
          <w:vertAlign w:val="subscript"/>
        </w:rPr>
        <w:t>1</w:t>
      </w:r>
      <w:r w:rsidRPr="007A4E46">
        <w:rPr>
          <w:i/>
          <w:sz w:val="24"/>
          <w:szCs w:val="24"/>
        </w:rPr>
        <w:t>X</w:t>
      </w:r>
      <w:r w:rsidRPr="007A4E46">
        <w:rPr>
          <w:i/>
          <w:sz w:val="24"/>
          <w:szCs w:val="24"/>
          <w:vertAlign w:val="subscript"/>
        </w:rPr>
        <w:t>2</w:t>
      </w:r>
      <w:r w:rsidRPr="007A4E46">
        <w:rPr>
          <w:i/>
          <w:sz w:val="24"/>
          <w:szCs w:val="24"/>
        </w:rPr>
        <w:t xml:space="preserve"> β</w:t>
      </w:r>
      <w:r w:rsidRPr="007A4E46">
        <w:rPr>
          <w:i/>
          <w:sz w:val="24"/>
          <w:szCs w:val="24"/>
          <w:vertAlign w:val="subscript"/>
        </w:rPr>
        <w:t xml:space="preserve">5 </w:t>
      </w:r>
      <w:r w:rsidRPr="007A4E46">
        <w:rPr>
          <w:i/>
          <w:sz w:val="24"/>
          <w:szCs w:val="24"/>
        </w:rPr>
        <w:t>+ X</w:t>
      </w:r>
      <w:r w:rsidRPr="007A4E46">
        <w:rPr>
          <w:i/>
          <w:sz w:val="24"/>
          <w:szCs w:val="24"/>
          <w:vertAlign w:val="subscript"/>
        </w:rPr>
        <w:t>1</w:t>
      </w:r>
      <w:r w:rsidRPr="007A4E46">
        <w:rPr>
          <w:i/>
          <w:sz w:val="24"/>
          <w:szCs w:val="24"/>
        </w:rPr>
        <w:t>X</w:t>
      </w:r>
      <w:r w:rsidRPr="007A4E46">
        <w:rPr>
          <w:i/>
          <w:sz w:val="24"/>
          <w:szCs w:val="24"/>
          <w:vertAlign w:val="subscript"/>
        </w:rPr>
        <w:t>3</w:t>
      </w:r>
      <w:r w:rsidRPr="007A4E46">
        <w:rPr>
          <w:i/>
          <w:sz w:val="24"/>
          <w:szCs w:val="24"/>
        </w:rPr>
        <w:t xml:space="preserve"> β</w:t>
      </w:r>
      <w:r w:rsidRPr="007A4E46">
        <w:rPr>
          <w:i/>
          <w:sz w:val="24"/>
          <w:szCs w:val="24"/>
          <w:vertAlign w:val="subscript"/>
        </w:rPr>
        <w:t>6</w:t>
      </w:r>
      <w:r w:rsidRPr="007A4E46">
        <w:rPr>
          <w:i/>
          <w:sz w:val="24"/>
          <w:szCs w:val="24"/>
        </w:rPr>
        <w:t>+ … X</w:t>
      </w:r>
      <w:r w:rsidRPr="007A4E46">
        <w:rPr>
          <w:i/>
          <w:sz w:val="24"/>
          <w:szCs w:val="24"/>
          <w:vertAlign w:val="subscript"/>
        </w:rPr>
        <w:t>1</w:t>
      </w:r>
      <w:r w:rsidRPr="007A4E46">
        <w:rPr>
          <w:i/>
          <w:sz w:val="24"/>
          <w:szCs w:val="24"/>
        </w:rPr>
        <w:t>X</w:t>
      </w:r>
      <w:r w:rsidRPr="007A4E46">
        <w:rPr>
          <w:i/>
          <w:sz w:val="24"/>
          <w:szCs w:val="24"/>
          <w:vertAlign w:val="subscript"/>
        </w:rPr>
        <w:t>2</w:t>
      </w:r>
      <w:r w:rsidRPr="007A4E46">
        <w:rPr>
          <w:i/>
          <w:sz w:val="24"/>
          <w:szCs w:val="24"/>
        </w:rPr>
        <w:t>X</w:t>
      </w:r>
      <w:r w:rsidRPr="007A4E46">
        <w:rPr>
          <w:i/>
          <w:sz w:val="24"/>
          <w:szCs w:val="24"/>
          <w:vertAlign w:val="subscript"/>
        </w:rPr>
        <w:t>3</w:t>
      </w:r>
      <w:r w:rsidRPr="007A4E46">
        <w:rPr>
          <w:i/>
          <w:sz w:val="24"/>
          <w:szCs w:val="24"/>
        </w:rPr>
        <w:t>X</w:t>
      </w:r>
      <w:r w:rsidRPr="007A4E46">
        <w:rPr>
          <w:i/>
          <w:sz w:val="24"/>
          <w:szCs w:val="24"/>
          <w:vertAlign w:val="subscript"/>
        </w:rPr>
        <w:t>4</w:t>
      </w:r>
      <w:r w:rsidRPr="007A4E46">
        <w:rPr>
          <w:i/>
          <w:sz w:val="24"/>
          <w:szCs w:val="24"/>
        </w:rPr>
        <w:t>X</w:t>
      </w:r>
      <w:r w:rsidRPr="007A4E46">
        <w:rPr>
          <w:i/>
          <w:sz w:val="24"/>
          <w:szCs w:val="24"/>
          <w:vertAlign w:val="subscript"/>
        </w:rPr>
        <w:t>5</w:t>
      </w:r>
      <w:r w:rsidRPr="007A4E46">
        <w:rPr>
          <w:i/>
          <w:sz w:val="24"/>
          <w:szCs w:val="24"/>
        </w:rPr>
        <w:t>β</w:t>
      </w:r>
      <w:r w:rsidRPr="007A4E46">
        <w:rPr>
          <w:i/>
          <w:sz w:val="24"/>
          <w:szCs w:val="24"/>
          <w:vertAlign w:val="subscript"/>
        </w:rPr>
        <w:t>i</w:t>
      </w:r>
      <w:r w:rsidRPr="007A4E46">
        <w:rPr>
          <w:i/>
          <w:sz w:val="24"/>
          <w:szCs w:val="24"/>
        </w:rPr>
        <w:t xml:space="preserve"> + </w:t>
      </w:r>
      <w:r w:rsidRPr="007A4E46">
        <w:rPr>
          <w:rFonts w:cstheme="minorHAnsi"/>
          <w:i/>
          <w:sz w:val="24"/>
          <w:szCs w:val="24"/>
        </w:rPr>
        <w:t>Є</w:t>
      </w:r>
      <w:r w:rsidRPr="007A4E46">
        <w:rPr>
          <w:rFonts w:cstheme="minorHAnsi"/>
          <w:i/>
          <w:sz w:val="24"/>
          <w:szCs w:val="24"/>
          <w:vertAlign w:val="subscript"/>
        </w:rPr>
        <w:t>i</w:t>
      </w:r>
      <w:r>
        <w:rPr>
          <w:rFonts w:cstheme="minorHAnsi"/>
          <w:i/>
          <w:sz w:val="24"/>
          <w:szCs w:val="24"/>
          <w:vertAlign w:val="subscript"/>
        </w:rPr>
        <w:t xml:space="preserve">    </w:t>
      </w:r>
      <w:r w:rsidR="00A67598">
        <w:rPr>
          <w:rFonts w:cstheme="minorHAnsi"/>
          <w:i/>
          <w:sz w:val="24"/>
          <w:szCs w:val="24"/>
        </w:rPr>
        <w:t xml:space="preserve">   </w:t>
      </w:r>
      <w:r w:rsidR="00A67598">
        <w:rPr>
          <w:i/>
          <w:sz w:val="24"/>
          <w:szCs w:val="24"/>
        </w:rPr>
        <w:t xml:space="preserve">(2) </w:t>
      </w:r>
      <w:r w:rsidR="00A67598">
        <w:rPr>
          <w:i/>
          <w:sz w:val="24"/>
          <w:szCs w:val="24"/>
        </w:rPr>
        <w:tab/>
      </w:r>
    </w:p>
    <w:p w14:paraId="0D9D2227" w14:textId="2F5B2976" w:rsidR="00881127" w:rsidRPr="00F83EBB" w:rsidRDefault="00881127" w:rsidP="00881127">
      <w:pPr>
        <w:rPr>
          <w:rFonts w:cstheme="minorHAnsi"/>
        </w:rPr>
      </w:pPr>
      <w:r w:rsidRPr="00F83EBB">
        <w:t xml:space="preserve">Formula description </w:t>
      </w:r>
      <w:r w:rsidR="00F83EBB" w:rsidRPr="00F83EBB">
        <w:t xml:space="preserve">with </w:t>
      </w:r>
      <w:r w:rsidR="00F83EBB">
        <w:t xml:space="preserve">main </w:t>
      </w:r>
      <w:r w:rsidR="00F83EBB" w:rsidRPr="00F83EBB">
        <w:t>factor</w:t>
      </w:r>
      <w:r w:rsidR="00F83EBB">
        <w:t xml:space="preserve">s, </w:t>
      </w:r>
      <w:r w:rsidR="00F83EBB" w:rsidRPr="00F83EBB">
        <w:t xml:space="preserve">relevant coefficients </w:t>
      </w:r>
      <w:r w:rsidR="00F83EBB">
        <w:t xml:space="preserve">and examples of two interactions </w:t>
      </w:r>
      <w:r w:rsidR="00F83EBB" w:rsidRPr="00F83EBB">
        <w:t>is presented next</w:t>
      </w:r>
      <w:r w:rsidR="00F83EBB">
        <w:t>.</w:t>
      </w:r>
    </w:p>
    <w:p w14:paraId="73C59166" w14:textId="653B4103" w:rsidR="00885FFA" w:rsidRPr="00881127" w:rsidRDefault="00885FFA" w:rsidP="00DF6AA7">
      <w:pPr>
        <w:jc w:val="both"/>
        <w:rPr>
          <w:sz w:val="20"/>
          <w:szCs w:val="20"/>
        </w:rPr>
      </w:pPr>
      <w:r w:rsidRPr="00881127">
        <w:rPr>
          <w:i/>
          <w:sz w:val="20"/>
          <w:szCs w:val="20"/>
        </w:rPr>
        <w:t>Y</w:t>
      </w:r>
      <w:r w:rsidRPr="00881127">
        <w:rPr>
          <w:i/>
          <w:sz w:val="20"/>
          <w:szCs w:val="20"/>
          <w:vertAlign w:val="subscript"/>
        </w:rPr>
        <w:t xml:space="preserve">i  </w:t>
      </w:r>
      <w:r w:rsidRPr="00881127">
        <w:rPr>
          <w:sz w:val="20"/>
          <w:szCs w:val="20"/>
        </w:rPr>
        <w:t xml:space="preserve">= </w:t>
      </w:r>
      <w:r w:rsidRPr="00881127">
        <w:rPr>
          <w:i/>
          <w:sz w:val="20"/>
          <w:szCs w:val="20"/>
          <w:vertAlign w:val="subscript"/>
        </w:rPr>
        <w:t xml:space="preserve"> </w:t>
      </w:r>
      <w:r w:rsidRPr="00881127">
        <w:rPr>
          <w:sz w:val="20"/>
          <w:szCs w:val="20"/>
        </w:rPr>
        <w:t>response rate by day 10 after Census in 2011</w:t>
      </w:r>
    </w:p>
    <w:p w14:paraId="2D39FF36" w14:textId="7A34DF2B" w:rsidR="00885FFA" w:rsidRPr="00881127" w:rsidRDefault="00885FFA" w:rsidP="00DF6AA7">
      <w:pPr>
        <w:jc w:val="both"/>
        <w:rPr>
          <w:sz w:val="20"/>
          <w:szCs w:val="20"/>
        </w:rPr>
      </w:pPr>
      <w:r w:rsidRPr="00881127">
        <w:rPr>
          <w:i/>
          <w:sz w:val="20"/>
          <w:szCs w:val="20"/>
        </w:rPr>
        <w:t>β</w:t>
      </w:r>
      <w:r w:rsidRPr="00881127">
        <w:rPr>
          <w:i/>
          <w:sz w:val="20"/>
          <w:szCs w:val="20"/>
          <w:vertAlign w:val="subscript"/>
        </w:rPr>
        <w:t xml:space="preserve">0 </w:t>
      </w:r>
      <w:r w:rsidRPr="00881127">
        <w:rPr>
          <w:sz w:val="20"/>
          <w:szCs w:val="20"/>
        </w:rPr>
        <w:t>=</w:t>
      </w:r>
      <w:r w:rsidRPr="00881127">
        <w:rPr>
          <w:i/>
          <w:sz w:val="20"/>
          <w:szCs w:val="20"/>
          <w:vertAlign w:val="subscript"/>
        </w:rPr>
        <w:t xml:space="preserve"> </w:t>
      </w:r>
      <w:r w:rsidRPr="00881127">
        <w:rPr>
          <w:sz w:val="20"/>
          <w:szCs w:val="20"/>
        </w:rPr>
        <w:t>Intercept</w:t>
      </w:r>
    </w:p>
    <w:p w14:paraId="596274BF" w14:textId="503F6CE8" w:rsidR="00885FFA" w:rsidRPr="00881127" w:rsidRDefault="00885FFA" w:rsidP="00DF6AA7">
      <w:pPr>
        <w:jc w:val="both"/>
        <w:rPr>
          <w:sz w:val="20"/>
          <w:szCs w:val="20"/>
        </w:rPr>
      </w:pPr>
      <w:r w:rsidRPr="00881127">
        <w:rPr>
          <w:i/>
          <w:sz w:val="20"/>
          <w:szCs w:val="20"/>
        </w:rPr>
        <w:t>X</w:t>
      </w:r>
      <w:r w:rsidRPr="00881127">
        <w:rPr>
          <w:i/>
          <w:sz w:val="20"/>
          <w:szCs w:val="20"/>
          <w:vertAlign w:val="subscript"/>
        </w:rPr>
        <w:t xml:space="preserve">1 </w:t>
      </w:r>
      <w:r w:rsidRPr="00881127">
        <w:rPr>
          <w:sz w:val="20"/>
          <w:szCs w:val="20"/>
        </w:rPr>
        <w:t>=</w:t>
      </w:r>
      <w:r w:rsidRPr="00881127">
        <w:rPr>
          <w:i/>
          <w:sz w:val="20"/>
          <w:szCs w:val="20"/>
          <w:vertAlign w:val="subscript"/>
        </w:rPr>
        <w:t xml:space="preserve"> </w:t>
      </w:r>
      <w:r w:rsidRPr="00881127">
        <w:rPr>
          <w:sz w:val="20"/>
          <w:szCs w:val="20"/>
        </w:rPr>
        <w:t>HtC 2021</w:t>
      </w:r>
    </w:p>
    <w:p w14:paraId="2C41F206" w14:textId="65C40688" w:rsidR="00885FFA" w:rsidRPr="00881127" w:rsidRDefault="00885FFA" w:rsidP="00DF6AA7">
      <w:pPr>
        <w:jc w:val="both"/>
        <w:rPr>
          <w:sz w:val="20"/>
          <w:szCs w:val="20"/>
        </w:rPr>
      </w:pPr>
      <w:r w:rsidRPr="00881127">
        <w:rPr>
          <w:i/>
          <w:sz w:val="20"/>
          <w:szCs w:val="20"/>
        </w:rPr>
        <w:t>β</w:t>
      </w:r>
      <w:r w:rsidRPr="00881127">
        <w:rPr>
          <w:i/>
          <w:sz w:val="20"/>
          <w:szCs w:val="20"/>
          <w:vertAlign w:val="subscript"/>
        </w:rPr>
        <w:t xml:space="preserve">1 </w:t>
      </w:r>
      <w:r w:rsidRPr="00881127">
        <w:rPr>
          <w:sz w:val="20"/>
          <w:szCs w:val="20"/>
        </w:rPr>
        <w:t>= Coefficient for variable H</w:t>
      </w:r>
      <w:r w:rsidR="002842CA">
        <w:rPr>
          <w:sz w:val="20"/>
          <w:szCs w:val="20"/>
        </w:rPr>
        <w:t>t</w:t>
      </w:r>
      <w:r w:rsidRPr="00881127">
        <w:rPr>
          <w:sz w:val="20"/>
          <w:szCs w:val="20"/>
        </w:rPr>
        <w:t xml:space="preserve">C 2021 </w:t>
      </w:r>
    </w:p>
    <w:p w14:paraId="5E9DE0C6" w14:textId="6E03D3DC" w:rsidR="00885FFA" w:rsidRPr="00881127" w:rsidRDefault="00885FFA" w:rsidP="00885FFA">
      <w:pPr>
        <w:jc w:val="both"/>
        <w:rPr>
          <w:sz w:val="20"/>
          <w:szCs w:val="20"/>
        </w:rPr>
      </w:pPr>
      <w:r w:rsidRPr="00881127">
        <w:rPr>
          <w:i/>
          <w:sz w:val="20"/>
          <w:szCs w:val="20"/>
        </w:rPr>
        <w:t>X</w:t>
      </w:r>
      <w:r w:rsidRPr="00881127">
        <w:rPr>
          <w:i/>
          <w:sz w:val="20"/>
          <w:szCs w:val="20"/>
          <w:vertAlign w:val="subscript"/>
        </w:rPr>
        <w:t xml:space="preserve">2 </w:t>
      </w:r>
      <w:r w:rsidRPr="00881127">
        <w:rPr>
          <w:sz w:val="20"/>
          <w:szCs w:val="20"/>
        </w:rPr>
        <w:t>=</w:t>
      </w:r>
      <w:r w:rsidRPr="00881127">
        <w:rPr>
          <w:i/>
          <w:sz w:val="20"/>
          <w:szCs w:val="20"/>
          <w:vertAlign w:val="subscript"/>
        </w:rPr>
        <w:t xml:space="preserve"> </w:t>
      </w:r>
      <w:r w:rsidRPr="00881127">
        <w:rPr>
          <w:sz w:val="20"/>
          <w:szCs w:val="20"/>
        </w:rPr>
        <w:t xml:space="preserve">predominant age group HRP </w:t>
      </w:r>
    </w:p>
    <w:p w14:paraId="5657DBCD" w14:textId="489F564E" w:rsidR="00885FFA" w:rsidRPr="00881127" w:rsidRDefault="00885FFA" w:rsidP="00885FFA">
      <w:pPr>
        <w:jc w:val="both"/>
        <w:rPr>
          <w:sz w:val="20"/>
          <w:szCs w:val="20"/>
        </w:rPr>
      </w:pPr>
      <w:r w:rsidRPr="00881127">
        <w:rPr>
          <w:i/>
          <w:sz w:val="20"/>
          <w:szCs w:val="20"/>
        </w:rPr>
        <w:t>β</w:t>
      </w:r>
      <w:r w:rsidRPr="00881127">
        <w:rPr>
          <w:i/>
          <w:sz w:val="20"/>
          <w:szCs w:val="20"/>
          <w:vertAlign w:val="subscript"/>
        </w:rPr>
        <w:t xml:space="preserve"> 2</w:t>
      </w:r>
      <w:r w:rsidRPr="00881127">
        <w:rPr>
          <w:sz w:val="20"/>
          <w:szCs w:val="20"/>
        </w:rPr>
        <w:t xml:space="preserve"> =</w:t>
      </w:r>
      <w:r w:rsidRPr="00881127">
        <w:rPr>
          <w:i/>
          <w:sz w:val="20"/>
          <w:szCs w:val="20"/>
          <w:vertAlign w:val="subscript"/>
        </w:rPr>
        <w:t xml:space="preserve"> </w:t>
      </w:r>
      <w:r w:rsidRPr="00881127">
        <w:rPr>
          <w:sz w:val="20"/>
          <w:szCs w:val="20"/>
        </w:rPr>
        <w:t xml:space="preserve">Coefficient for predominant age group HRP </w:t>
      </w:r>
    </w:p>
    <w:p w14:paraId="36C14B4A" w14:textId="56106CB0" w:rsidR="00881127" w:rsidRPr="00881127" w:rsidRDefault="00881127" w:rsidP="00885FFA">
      <w:pPr>
        <w:jc w:val="both"/>
        <w:rPr>
          <w:sz w:val="20"/>
          <w:szCs w:val="20"/>
        </w:rPr>
      </w:pPr>
      <w:r w:rsidRPr="00881127">
        <w:rPr>
          <w:i/>
          <w:sz w:val="20"/>
          <w:szCs w:val="20"/>
        </w:rPr>
        <w:t>X</w:t>
      </w:r>
      <w:r w:rsidRPr="00881127">
        <w:rPr>
          <w:i/>
          <w:sz w:val="20"/>
          <w:szCs w:val="20"/>
          <w:vertAlign w:val="subscript"/>
        </w:rPr>
        <w:t>3</w:t>
      </w:r>
      <w:r w:rsidRPr="00881127">
        <w:rPr>
          <w:i/>
          <w:sz w:val="20"/>
          <w:szCs w:val="20"/>
        </w:rPr>
        <w:t xml:space="preserve"> = </w:t>
      </w:r>
      <w:r w:rsidRPr="00881127">
        <w:rPr>
          <w:sz w:val="20"/>
          <w:szCs w:val="20"/>
        </w:rPr>
        <w:t>predominant gender group HRP</w:t>
      </w:r>
    </w:p>
    <w:p w14:paraId="23BEC87A" w14:textId="5E9BC5DC" w:rsidR="00881127" w:rsidRPr="00881127" w:rsidRDefault="00881127" w:rsidP="00885FFA">
      <w:pPr>
        <w:jc w:val="both"/>
        <w:rPr>
          <w:sz w:val="20"/>
          <w:szCs w:val="20"/>
        </w:rPr>
      </w:pPr>
      <w:r w:rsidRPr="00881127">
        <w:rPr>
          <w:i/>
          <w:sz w:val="20"/>
          <w:szCs w:val="20"/>
        </w:rPr>
        <w:t>β</w:t>
      </w:r>
      <w:r w:rsidRPr="00881127">
        <w:rPr>
          <w:i/>
          <w:sz w:val="20"/>
          <w:szCs w:val="20"/>
          <w:vertAlign w:val="subscript"/>
        </w:rPr>
        <w:t>3</w:t>
      </w:r>
      <w:r w:rsidRPr="00881127">
        <w:rPr>
          <w:sz w:val="20"/>
          <w:szCs w:val="20"/>
        </w:rPr>
        <w:t xml:space="preserve"> = Coefficient for predominant gender group HRP</w:t>
      </w:r>
    </w:p>
    <w:p w14:paraId="67486A6C" w14:textId="0F735990" w:rsidR="00881127" w:rsidRPr="00881127" w:rsidRDefault="00881127" w:rsidP="00885FFA">
      <w:pPr>
        <w:jc w:val="both"/>
        <w:rPr>
          <w:sz w:val="20"/>
          <w:szCs w:val="20"/>
        </w:rPr>
      </w:pPr>
      <w:r w:rsidRPr="00881127">
        <w:rPr>
          <w:i/>
          <w:sz w:val="20"/>
          <w:szCs w:val="20"/>
        </w:rPr>
        <w:t>X</w:t>
      </w:r>
      <w:r w:rsidRPr="00881127">
        <w:rPr>
          <w:i/>
          <w:sz w:val="20"/>
          <w:szCs w:val="20"/>
          <w:vertAlign w:val="subscript"/>
        </w:rPr>
        <w:t>4</w:t>
      </w:r>
      <w:r w:rsidRPr="00881127">
        <w:rPr>
          <w:sz w:val="20"/>
          <w:szCs w:val="20"/>
        </w:rPr>
        <w:t xml:space="preserve"> = predominant household size</w:t>
      </w:r>
    </w:p>
    <w:p w14:paraId="29379379" w14:textId="2CFA221C" w:rsidR="00881127" w:rsidRPr="00881127" w:rsidRDefault="00881127" w:rsidP="00885FFA">
      <w:pPr>
        <w:jc w:val="both"/>
        <w:rPr>
          <w:sz w:val="20"/>
          <w:szCs w:val="20"/>
        </w:rPr>
      </w:pPr>
      <w:r w:rsidRPr="00881127">
        <w:rPr>
          <w:i/>
          <w:sz w:val="20"/>
          <w:szCs w:val="20"/>
        </w:rPr>
        <w:t>β</w:t>
      </w:r>
      <w:r w:rsidRPr="00881127">
        <w:rPr>
          <w:i/>
          <w:sz w:val="20"/>
          <w:szCs w:val="20"/>
          <w:vertAlign w:val="subscript"/>
        </w:rPr>
        <w:t xml:space="preserve">4 </w:t>
      </w:r>
      <w:r w:rsidRPr="00881127">
        <w:rPr>
          <w:sz w:val="20"/>
          <w:szCs w:val="20"/>
        </w:rPr>
        <w:t>= Coefficient for predominant household size</w:t>
      </w:r>
    </w:p>
    <w:p w14:paraId="1F21A5AF" w14:textId="57737741" w:rsidR="00881127" w:rsidRPr="00881127" w:rsidRDefault="00881127" w:rsidP="00885FFA">
      <w:pPr>
        <w:jc w:val="both"/>
        <w:rPr>
          <w:sz w:val="20"/>
          <w:szCs w:val="20"/>
        </w:rPr>
      </w:pPr>
      <w:r w:rsidRPr="00881127">
        <w:rPr>
          <w:i/>
          <w:sz w:val="20"/>
          <w:szCs w:val="20"/>
        </w:rPr>
        <w:t>X</w:t>
      </w:r>
      <w:r w:rsidRPr="00881127">
        <w:rPr>
          <w:i/>
          <w:sz w:val="20"/>
          <w:szCs w:val="20"/>
          <w:vertAlign w:val="subscript"/>
        </w:rPr>
        <w:t>5</w:t>
      </w:r>
      <w:r w:rsidRPr="00881127">
        <w:rPr>
          <w:sz w:val="20"/>
          <w:szCs w:val="20"/>
        </w:rPr>
        <w:t xml:space="preserve"> = predominant qualifications for HRP</w:t>
      </w:r>
    </w:p>
    <w:p w14:paraId="13EF129D" w14:textId="597A92A2" w:rsidR="00881127" w:rsidRPr="00881127" w:rsidRDefault="00881127" w:rsidP="00885FFA">
      <w:pPr>
        <w:jc w:val="both"/>
        <w:rPr>
          <w:sz w:val="20"/>
          <w:szCs w:val="20"/>
        </w:rPr>
      </w:pPr>
      <w:r w:rsidRPr="00881127">
        <w:rPr>
          <w:i/>
          <w:sz w:val="20"/>
          <w:szCs w:val="20"/>
        </w:rPr>
        <w:t>β</w:t>
      </w:r>
      <w:r w:rsidRPr="00881127">
        <w:rPr>
          <w:i/>
          <w:sz w:val="20"/>
          <w:szCs w:val="20"/>
          <w:vertAlign w:val="subscript"/>
        </w:rPr>
        <w:t xml:space="preserve">5 </w:t>
      </w:r>
      <w:r w:rsidRPr="00881127">
        <w:rPr>
          <w:sz w:val="20"/>
          <w:szCs w:val="20"/>
        </w:rPr>
        <w:t>= coefficient for predominant qualifications for HRP</w:t>
      </w:r>
    </w:p>
    <w:p w14:paraId="6F57CA10" w14:textId="15A11DB4" w:rsidR="00885FFA" w:rsidRPr="00881127" w:rsidRDefault="00881127" w:rsidP="00885FFA">
      <w:pPr>
        <w:jc w:val="both"/>
        <w:rPr>
          <w:sz w:val="20"/>
          <w:szCs w:val="20"/>
        </w:rPr>
      </w:pPr>
      <w:r w:rsidRPr="00881127">
        <w:rPr>
          <w:sz w:val="20"/>
          <w:szCs w:val="20"/>
        </w:rPr>
        <w:t>…</w:t>
      </w:r>
    </w:p>
    <w:p w14:paraId="75355388" w14:textId="5DC39F46" w:rsidR="00881127" w:rsidRPr="00881127" w:rsidRDefault="00881127" w:rsidP="00885FFA">
      <w:pPr>
        <w:jc w:val="both"/>
        <w:rPr>
          <w:i/>
          <w:sz w:val="20"/>
          <w:szCs w:val="20"/>
          <w:vertAlign w:val="subscript"/>
        </w:rPr>
      </w:pPr>
      <w:r w:rsidRPr="00881127">
        <w:rPr>
          <w:i/>
          <w:sz w:val="20"/>
          <w:szCs w:val="20"/>
        </w:rPr>
        <w:t>X</w:t>
      </w:r>
      <w:r w:rsidRPr="00881127">
        <w:rPr>
          <w:i/>
          <w:sz w:val="20"/>
          <w:szCs w:val="20"/>
          <w:vertAlign w:val="subscript"/>
        </w:rPr>
        <w:t>1</w:t>
      </w:r>
      <w:r w:rsidRPr="00881127">
        <w:rPr>
          <w:i/>
          <w:sz w:val="20"/>
          <w:szCs w:val="20"/>
        </w:rPr>
        <w:t>X</w:t>
      </w:r>
      <w:r w:rsidRPr="00881127">
        <w:rPr>
          <w:i/>
          <w:sz w:val="20"/>
          <w:szCs w:val="20"/>
          <w:vertAlign w:val="subscript"/>
        </w:rPr>
        <w:t xml:space="preserve">2 </w:t>
      </w:r>
      <w:r w:rsidRPr="00881127">
        <w:rPr>
          <w:sz w:val="20"/>
          <w:szCs w:val="20"/>
          <w:vertAlign w:val="subscript"/>
        </w:rPr>
        <w:t>=</w:t>
      </w:r>
      <w:r w:rsidRPr="00881127">
        <w:rPr>
          <w:sz w:val="20"/>
          <w:szCs w:val="20"/>
        </w:rPr>
        <w:t xml:space="preserve"> interaction</w:t>
      </w:r>
      <w:r w:rsidRPr="00881127">
        <w:rPr>
          <w:sz w:val="20"/>
          <w:szCs w:val="20"/>
          <w:vertAlign w:val="subscript"/>
        </w:rPr>
        <w:t xml:space="preserve"> </w:t>
      </w:r>
      <w:r w:rsidRPr="00881127">
        <w:rPr>
          <w:sz w:val="20"/>
          <w:szCs w:val="20"/>
        </w:rPr>
        <w:t>between HtC 2021 and predominant age group HRP</w:t>
      </w:r>
    </w:p>
    <w:p w14:paraId="60FD526A" w14:textId="2C3B839F" w:rsidR="00881127" w:rsidRPr="00881127" w:rsidRDefault="00881127" w:rsidP="00885FFA">
      <w:pPr>
        <w:jc w:val="both"/>
        <w:rPr>
          <w:sz w:val="20"/>
          <w:szCs w:val="20"/>
        </w:rPr>
      </w:pPr>
      <w:r w:rsidRPr="00881127">
        <w:rPr>
          <w:i/>
          <w:sz w:val="20"/>
          <w:szCs w:val="20"/>
        </w:rPr>
        <w:t>β</w:t>
      </w:r>
      <w:r w:rsidRPr="00881127">
        <w:rPr>
          <w:i/>
          <w:sz w:val="20"/>
          <w:szCs w:val="20"/>
          <w:vertAlign w:val="subscript"/>
        </w:rPr>
        <w:t xml:space="preserve">5 = </w:t>
      </w:r>
      <w:r w:rsidRPr="00881127">
        <w:rPr>
          <w:sz w:val="20"/>
          <w:szCs w:val="20"/>
        </w:rPr>
        <w:t>Coefficient for the interaction between the variable H</w:t>
      </w:r>
      <w:r w:rsidR="002842CA">
        <w:rPr>
          <w:sz w:val="20"/>
          <w:szCs w:val="20"/>
        </w:rPr>
        <w:t>t</w:t>
      </w:r>
      <w:r w:rsidRPr="00881127">
        <w:rPr>
          <w:sz w:val="20"/>
          <w:szCs w:val="20"/>
        </w:rPr>
        <w:t>C 2021 and predominant age group HRP</w:t>
      </w:r>
    </w:p>
    <w:p w14:paraId="011396F4" w14:textId="612B5BD8" w:rsidR="00881127" w:rsidRPr="00881127" w:rsidRDefault="00881127" w:rsidP="00885FFA">
      <w:pPr>
        <w:jc w:val="both"/>
        <w:rPr>
          <w:sz w:val="20"/>
          <w:szCs w:val="20"/>
        </w:rPr>
      </w:pPr>
      <w:r w:rsidRPr="00881127">
        <w:rPr>
          <w:sz w:val="20"/>
          <w:szCs w:val="20"/>
        </w:rPr>
        <w:t>…</w:t>
      </w:r>
    </w:p>
    <w:p w14:paraId="7E2F2C1B" w14:textId="1BDE188F" w:rsidR="00885FFA" w:rsidRPr="00881127" w:rsidRDefault="00881127" w:rsidP="00DF6AA7">
      <w:pPr>
        <w:jc w:val="both"/>
        <w:rPr>
          <w:sz w:val="20"/>
          <w:szCs w:val="20"/>
        </w:rPr>
      </w:pPr>
      <w:r w:rsidRPr="00881127">
        <w:rPr>
          <w:i/>
          <w:sz w:val="20"/>
          <w:szCs w:val="20"/>
        </w:rPr>
        <w:t>X</w:t>
      </w:r>
      <w:r w:rsidRPr="00881127">
        <w:rPr>
          <w:i/>
          <w:sz w:val="20"/>
          <w:szCs w:val="20"/>
          <w:vertAlign w:val="subscript"/>
        </w:rPr>
        <w:t>1</w:t>
      </w:r>
      <w:r w:rsidRPr="00881127">
        <w:rPr>
          <w:i/>
          <w:sz w:val="20"/>
          <w:szCs w:val="20"/>
        </w:rPr>
        <w:t>X</w:t>
      </w:r>
      <w:r w:rsidRPr="00881127">
        <w:rPr>
          <w:i/>
          <w:sz w:val="20"/>
          <w:szCs w:val="20"/>
          <w:vertAlign w:val="subscript"/>
        </w:rPr>
        <w:t>2</w:t>
      </w:r>
      <w:r w:rsidRPr="00881127">
        <w:rPr>
          <w:i/>
          <w:sz w:val="20"/>
          <w:szCs w:val="20"/>
        </w:rPr>
        <w:t>X</w:t>
      </w:r>
      <w:r w:rsidRPr="00881127">
        <w:rPr>
          <w:i/>
          <w:sz w:val="20"/>
          <w:szCs w:val="20"/>
          <w:vertAlign w:val="subscript"/>
        </w:rPr>
        <w:t>3</w:t>
      </w:r>
      <w:r w:rsidRPr="00881127">
        <w:rPr>
          <w:i/>
          <w:sz w:val="20"/>
          <w:szCs w:val="20"/>
        </w:rPr>
        <w:t>X</w:t>
      </w:r>
      <w:r w:rsidRPr="00881127">
        <w:rPr>
          <w:i/>
          <w:sz w:val="20"/>
          <w:szCs w:val="20"/>
          <w:vertAlign w:val="subscript"/>
        </w:rPr>
        <w:t>4</w:t>
      </w:r>
      <w:r w:rsidRPr="00881127">
        <w:rPr>
          <w:i/>
          <w:sz w:val="20"/>
          <w:szCs w:val="20"/>
        </w:rPr>
        <w:t>X</w:t>
      </w:r>
      <w:r w:rsidRPr="00881127">
        <w:rPr>
          <w:i/>
          <w:sz w:val="20"/>
          <w:szCs w:val="20"/>
          <w:vertAlign w:val="subscript"/>
        </w:rPr>
        <w:t xml:space="preserve">5 </w:t>
      </w:r>
      <w:r w:rsidRPr="00881127">
        <w:rPr>
          <w:sz w:val="20"/>
          <w:szCs w:val="20"/>
        </w:rPr>
        <w:t>= interaction between all predictor variables</w:t>
      </w:r>
    </w:p>
    <w:p w14:paraId="3260E531" w14:textId="3C30EBF7" w:rsidR="00881127" w:rsidRPr="00881127" w:rsidRDefault="00881127" w:rsidP="00DF6AA7">
      <w:pPr>
        <w:jc w:val="both"/>
        <w:rPr>
          <w:sz w:val="20"/>
          <w:szCs w:val="20"/>
        </w:rPr>
      </w:pPr>
      <w:r w:rsidRPr="00881127">
        <w:rPr>
          <w:i/>
          <w:sz w:val="20"/>
          <w:szCs w:val="20"/>
        </w:rPr>
        <w:t>β</w:t>
      </w:r>
      <w:r w:rsidRPr="00881127">
        <w:rPr>
          <w:i/>
          <w:sz w:val="20"/>
          <w:szCs w:val="20"/>
          <w:vertAlign w:val="subscript"/>
        </w:rPr>
        <w:t xml:space="preserve">i </w:t>
      </w:r>
      <w:r w:rsidRPr="00881127">
        <w:rPr>
          <w:sz w:val="20"/>
          <w:szCs w:val="20"/>
        </w:rPr>
        <w:t>= Coefficient for the interaction between all predictor variables</w:t>
      </w:r>
    </w:p>
    <w:p w14:paraId="3BD92904" w14:textId="320E6161" w:rsidR="00881127" w:rsidRPr="00881127" w:rsidRDefault="00881127" w:rsidP="00DF6AA7">
      <w:pPr>
        <w:jc w:val="both"/>
        <w:rPr>
          <w:sz w:val="20"/>
          <w:szCs w:val="20"/>
        </w:rPr>
      </w:pPr>
      <w:r w:rsidRPr="00881127">
        <w:rPr>
          <w:rFonts w:cstheme="minorHAnsi"/>
          <w:i/>
          <w:sz w:val="20"/>
          <w:szCs w:val="20"/>
        </w:rPr>
        <w:t>Є</w:t>
      </w:r>
      <w:r w:rsidRPr="00881127">
        <w:rPr>
          <w:rFonts w:cstheme="minorHAnsi"/>
          <w:i/>
          <w:sz w:val="20"/>
          <w:szCs w:val="20"/>
          <w:vertAlign w:val="subscript"/>
        </w:rPr>
        <w:t xml:space="preserve">i </w:t>
      </w:r>
      <w:r w:rsidRPr="00881127">
        <w:rPr>
          <w:rFonts w:cstheme="minorHAnsi"/>
          <w:sz w:val="20"/>
          <w:szCs w:val="20"/>
        </w:rPr>
        <w:t>= error term</w:t>
      </w:r>
    </w:p>
    <w:p w14:paraId="011D7A07" w14:textId="02353A0A" w:rsidR="00DF6AA7" w:rsidRDefault="00DF6AA7" w:rsidP="00DF6AA7">
      <w:pPr>
        <w:jc w:val="both"/>
      </w:pPr>
      <w:r>
        <w:t xml:space="preserve">To perform this analysis the </w:t>
      </w:r>
      <w:r w:rsidR="00A67598">
        <w:t>set</w:t>
      </w:r>
      <w:r>
        <w:t xml:space="preserve"> of </w:t>
      </w:r>
      <w:r w:rsidR="00610141">
        <w:t xml:space="preserve">all </w:t>
      </w:r>
      <w:r>
        <w:t>LSOAs in England and Wales (34</w:t>
      </w:r>
      <w:r w:rsidR="002842CA">
        <w:t>,</w:t>
      </w:r>
      <w:r>
        <w:t xml:space="preserve">753) </w:t>
      </w:r>
      <w:r w:rsidR="00D21714">
        <w:t xml:space="preserve">was used </w:t>
      </w:r>
      <w:r w:rsidR="00610141">
        <w:t xml:space="preserve">to </w:t>
      </w:r>
      <w:r w:rsidR="00D21714">
        <w:t>identify</w:t>
      </w:r>
      <w:r w:rsidR="00610141">
        <w:t xml:space="preserve"> the </w:t>
      </w:r>
      <w:r>
        <w:t>most influential variables in the prediction of the self-response (response without any intervention from field force or reminder letters) by the end of the self</w:t>
      </w:r>
      <w:r w:rsidR="00A67598">
        <w:t>-response period (</w:t>
      </w:r>
      <w:r w:rsidR="00776410">
        <w:t>d</w:t>
      </w:r>
      <w:r w:rsidR="00A67598">
        <w:t>ay 10 after c</w:t>
      </w:r>
      <w:r>
        <w:t xml:space="preserve">ensus day). </w:t>
      </w:r>
    </w:p>
    <w:p w14:paraId="62DF0F65" w14:textId="05E8C50D" w:rsidR="00DF6AA7" w:rsidRDefault="00DF6AA7" w:rsidP="00DF6AA7">
      <w:pPr>
        <w:jc w:val="both"/>
      </w:pPr>
      <w:r>
        <w:lastRenderedPageBreak/>
        <w:t xml:space="preserve">The analysis </w:t>
      </w:r>
      <w:r w:rsidR="00610141">
        <w:t>revealed</w:t>
      </w:r>
      <w:r>
        <w:t xml:space="preserve"> that all predictor variables in the model </w:t>
      </w:r>
      <w:r w:rsidR="00610141">
        <w:t>were</w:t>
      </w:r>
      <w:r>
        <w:t xml:space="preserve"> significant in predicting the change of the self-response by day 10 after Census Day. </w:t>
      </w:r>
      <w:r w:rsidR="00610141">
        <w:t xml:space="preserve">It also shows that </w:t>
      </w:r>
      <w:r>
        <w:t xml:space="preserve">the most influential variable in the model </w:t>
      </w:r>
      <w:r w:rsidR="00610141">
        <w:t>was the</w:t>
      </w:r>
      <w:r>
        <w:t xml:space="preserve"> Hard</w:t>
      </w:r>
      <w:r w:rsidR="00A67598">
        <w:t>-</w:t>
      </w:r>
      <w:r>
        <w:t>to</w:t>
      </w:r>
      <w:r w:rsidR="00A67598">
        <w:t>-Count (</w:t>
      </w:r>
      <w:r w:rsidR="00C03A77">
        <w:t>HtC</w:t>
      </w:r>
      <w:r>
        <w:t xml:space="preserve">) </w:t>
      </w:r>
      <w:r w:rsidR="00A67598">
        <w:t>rating a</w:t>
      </w:r>
      <w:r w:rsidR="00610141">
        <w:t xml:space="preserve">ssigned </w:t>
      </w:r>
      <w:r>
        <w:t xml:space="preserve">to each LSOA. </w:t>
      </w:r>
      <w:r w:rsidR="00610141">
        <w:t>T</w:t>
      </w:r>
      <w:r>
        <w:t xml:space="preserve">he second most influential variable in the model was </w:t>
      </w:r>
      <w:r w:rsidR="00A67598">
        <w:t xml:space="preserve">the </w:t>
      </w:r>
      <w:r>
        <w:t xml:space="preserve">predominant age group for the HRP, followed by all the remaining variables (i.e. gender, </w:t>
      </w:r>
      <w:r w:rsidR="00A67598">
        <w:t>household</w:t>
      </w:r>
      <w:r>
        <w:t xml:space="preserve"> size and qualifications). </w:t>
      </w:r>
    </w:p>
    <w:p w14:paraId="4DDC28E3" w14:textId="77777777" w:rsidR="004F41D7" w:rsidRDefault="004F41D7" w:rsidP="00DF6AA7">
      <w:pPr>
        <w:jc w:val="both"/>
      </w:pPr>
    </w:p>
    <w:p w14:paraId="1E61F518" w14:textId="77777777" w:rsidR="009941B8" w:rsidRPr="009941B8" w:rsidRDefault="009941B8" w:rsidP="00DF6AA7">
      <w:pPr>
        <w:rPr>
          <w:b/>
        </w:rPr>
      </w:pPr>
      <w:r w:rsidRPr="009941B8">
        <w:rPr>
          <w:b/>
        </w:rPr>
        <w:t>Multiple regression with a random sample</w:t>
      </w:r>
    </w:p>
    <w:p w14:paraId="2F0452D1" w14:textId="77777777" w:rsidR="00610141" w:rsidRDefault="00610141" w:rsidP="00DF6AA7">
      <w:r>
        <w:t xml:space="preserve">A second Multiple Regression was performed using </w:t>
      </w:r>
      <w:r w:rsidR="00DF6AA7">
        <w:t>a random sample of 10% of the initial observations</w:t>
      </w:r>
      <w:r>
        <w:t xml:space="preserve">. </w:t>
      </w:r>
      <w:r w:rsidR="00DF6AA7">
        <w:t xml:space="preserve"> </w:t>
      </w:r>
      <w:r>
        <w:t>R</w:t>
      </w:r>
      <w:r w:rsidR="00DF6AA7">
        <w:t xml:space="preserve">esearch suggests that in very large samples, p-values are often below .001, and therefore relying on p values can lead the researcher to claim support for results of no practical </w:t>
      </w:r>
      <w:r>
        <w:t>significance (</w:t>
      </w:r>
      <w:r w:rsidRPr="00610141">
        <w:t>Royall, 1986; Lin, Lucas &amp; Shmueli, 2013; Knapp; 2017)</w:t>
      </w:r>
      <w:r w:rsidR="00DF6AA7">
        <w:t xml:space="preserve">. </w:t>
      </w:r>
    </w:p>
    <w:p w14:paraId="53E9DF23" w14:textId="2250E969" w:rsidR="00DF6AA7" w:rsidRDefault="00610141" w:rsidP="00DF6AA7">
      <w:r>
        <w:t>The regression formula with interactions using a random sample of 3</w:t>
      </w:r>
      <w:r w:rsidR="002842CA">
        <w:t>,</w:t>
      </w:r>
      <w:r>
        <w:t xml:space="preserve">488 </w:t>
      </w:r>
      <w:r w:rsidR="009941B8">
        <w:t>LSOAs is</w:t>
      </w:r>
      <w:r w:rsidR="00DF6AA7">
        <w:t xml:space="preserve"> presented </w:t>
      </w:r>
      <w:r w:rsidR="00A67598">
        <w:t>in equation (3).</w:t>
      </w:r>
    </w:p>
    <w:p w14:paraId="4E2218EE" w14:textId="77777777" w:rsidR="009941B8" w:rsidRDefault="009941B8" w:rsidP="00DF6AA7"/>
    <w:p w14:paraId="0D234CCA" w14:textId="6C3F2F9B" w:rsidR="00DF6AA7" w:rsidRDefault="00DF6AA7" w:rsidP="00A67598">
      <w:pPr>
        <w:ind w:firstLine="720"/>
        <w:rPr>
          <w:rFonts w:cstheme="minorHAnsi"/>
          <w:sz w:val="24"/>
          <w:szCs w:val="24"/>
        </w:rPr>
      </w:pPr>
      <w:r w:rsidRPr="007A4E46">
        <w:rPr>
          <w:i/>
          <w:sz w:val="24"/>
          <w:szCs w:val="24"/>
        </w:rPr>
        <w:t>Y</w:t>
      </w:r>
      <w:r w:rsidRPr="007A4E46">
        <w:rPr>
          <w:i/>
          <w:sz w:val="24"/>
          <w:szCs w:val="24"/>
          <w:vertAlign w:val="subscript"/>
        </w:rPr>
        <w:t>i</w:t>
      </w:r>
      <w:r w:rsidRPr="007A4E46">
        <w:rPr>
          <w:i/>
          <w:sz w:val="24"/>
          <w:szCs w:val="24"/>
        </w:rPr>
        <w:t xml:space="preserve"> = β</w:t>
      </w:r>
      <w:r w:rsidRPr="007A4E46">
        <w:rPr>
          <w:i/>
          <w:sz w:val="24"/>
          <w:szCs w:val="24"/>
          <w:vertAlign w:val="subscript"/>
        </w:rPr>
        <w:t>0</w:t>
      </w:r>
      <w:r w:rsidRPr="007A4E46">
        <w:rPr>
          <w:i/>
          <w:sz w:val="24"/>
          <w:szCs w:val="24"/>
        </w:rPr>
        <w:t xml:space="preserve"> + X</w:t>
      </w:r>
      <w:r w:rsidRPr="007A4E46">
        <w:rPr>
          <w:i/>
          <w:sz w:val="24"/>
          <w:szCs w:val="24"/>
          <w:vertAlign w:val="subscript"/>
        </w:rPr>
        <w:t>1</w:t>
      </w:r>
      <w:r w:rsidRPr="007A4E46">
        <w:rPr>
          <w:i/>
          <w:sz w:val="24"/>
          <w:szCs w:val="24"/>
        </w:rPr>
        <w:t xml:space="preserve"> β</w:t>
      </w:r>
      <w:r w:rsidRPr="007A4E46">
        <w:rPr>
          <w:i/>
          <w:sz w:val="24"/>
          <w:szCs w:val="24"/>
          <w:vertAlign w:val="subscript"/>
        </w:rPr>
        <w:t>1</w:t>
      </w:r>
      <w:r w:rsidRPr="007A4E46">
        <w:rPr>
          <w:i/>
          <w:sz w:val="24"/>
          <w:szCs w:val="24"/>
        </w:rPr>
        <w:t xml:space="preserve"> + X</w:t>
      </w:r>
      <w:r w:rsidRPr="007A4E46">
        <w:rPr>
          <w:i/>
          <w:sz w:val="24"/>
          <w:szCs w:val="24"/>
          <w:vertAlign w:val="subscript"/>
        </w:rPr>
        <w:t>2</w:t>
      </w:r>
      <w:r w:rsidRPr="007A4E46">
        <w:rPr>
          <w:i/>
          <w:sz w:val="24"/>
          <w:szCs w:val="24"/>
        </w:rPr>
        <w:t xml:space="preserve"> β</w:t>
      </w:r>
      <w:r w:rsidRPr="007A4E46">
        <w:rPr>
          <w:i/>
          <w:sz w:val="24"/>
          <w:szCs w:val="24"/>
          <w:vertAlign w:val="subscript"/>
        </w:rPr>
        <w:t>2</w:t>
      </w:r>
      <w:r w:rsidRPr="007A4E46">
        <w:rPr>
          <w:i/>
          <w:sz w:val="24"/>
          <w:szCs w:val="24"/>
        </w:rPr>
        <w:t xml:space="preserve"> + X</w:t>
      </w:r>
      <w:r w:rsidRPr="007A4E46">
        <w:rPr>
          <w:i/>
          <w:sz w:val="24"/>
          <w:szCs w:val="24"/>
          <w:vertAlign w:val="subscript"/>
        </w:rPr>
        <w:t>3</w:t>
      </w:r>
      <w:r w:rsidRPr="007A4E46">
        <w:rPr>
          <w:i/>
          <w:sz w:val="24"/>
          <w:szCs w:val="24"/>
        </w:rPr>
        <w:t xml:space="preserve"> β</w:t>
      </w:r>
      <w:r w:rsidRPr="007A4E46">
        <w:rPr>
          <w:i/>
          <w:sz w:val="24"/>
          <w:szCs w:val="24"/>
          <w:vertAlign w:val="subscript"/>
        </w:rPr>
        <w:t>3</w:t>
      </w:r>
      <w:r w:rsidRPr="007A4E46">
        <w:rPr>
          <w:i/>
          <w:sz w:val="24"/>
          <w:szCs w:val="24"/>
        </w:rPr>
        <w:t xml:space="preserve"> + X</w:t>
      </w:r>
      <w:r w:rsidRPr="007A4E46">
        <w:rPr>
          <w:i/>
          <w:sz w:val="24"/>
          <w:szCs w:val="24"/>
          <w:vertAlign w:val="subscript"/>
        </w:rPr>
        <w:t>4</w:t>
      </w:r>
      <w:r w:rsidRPr="007A4E46">
        <w:rPr>
          <w:i/>
          <w:sz w:val="24"/>
          <w:szCs w:val="24"/>
        </w:rPr>
        <w:t xml:space="preserve"> β</w:t>
      </w:r>
      <w:r w:rsidRPr="007A4E46">
        <w:rPr>
          <w:i/>
          <w:sz w:val="24"/>
          <w:szCs w:val="24"/>
          <w:vertAlign w:val="subscript"/>
        </w:rPr>
        <w:t>4</w:t>
      </w:r>
      <w:r w:rsidRPr="007A4E46">
        <w:rPr>
          <w:i/>
          <w:sz w:val="24"/>
          <w:szCs w:val="24"/>
        </w:rPr>
        <w:t xml:space="preserve"> + X</w:t>
      </w:r>
      <w:r w:rsidRPr="007A4E46">
        <w:rPr>
          <w:i/>
          <w:sz w:val="24"/>
          <w:szCs w:val="24"/>
          <w:vertAlign w:val="subscript"/>
        </w:rPr>
        <w:t>5</w:t>
      </w:r>
      <w:r w:rsidRPr="007A4E46">
        <w:rPr>
          <w:i/>
          <w:sz w:val="24"/>
          <w:szCs w:val="24"/>
        </w:rPr>
        <w:t xml:space="preserve"> β</w:t>
      </w:r>
      <w:r w:rsidRPr="007A4E46">
        <w:rPr>
          <w:i/>
          <w:sz w:val="24"/>
          <w:szCs w:val="24"/>
          <w:vertAlign w:val="subscript"/>
        </w:rPr>
        <w:t>5</w:t>
      </w:r>
      <w:r w:rsidRPr="007A4E46">
        <w:rPr>
          <w:i/>
          <w:sz w:val="24"/>
          <w:szCs w:val="24"/>
        </w:rPr>
        <w:t xml:space="preserve"> + X</w:t>
      </w:r>
      <w:r w:rsidRPr="007A4E46">
        <w:rPr>
          <w:i/>
          <w:sz w:val="24"/>
          <w:szCs w:val="24"/>
          <w:vertAlign w:val="subscript"/>
        </w:rPr>
        <w:t>1</w:t>
      </w:r>
      <w:r w:rsidRPr="007A4E46">
        <w:rPr>
          <w:i/>
          <w:sz w:val="24"/>
          <w:szCs w:val="24"/>
        </w:rPr>
        <w:t>X</w:t>
      </w:r>
      <w:r w:rsidRPr="007A4E46">
        <w:rPr>
          <w:i/>
          <w:sz w:val="24"/>
          <w:szCs w:val="24"/>
          <w:vertAlign w:val="subscript"/>
        </w:rPr>
        <w:t>2</w:t>
      </w:r>
      <w:r w:rsidRPr="007A4E46">
        <w:rPr>
          <w:i/>
          <w:sz w:val="24"/>
          <w:szCs w:val="24"/>
        </w:rPr>
        <w:t xml:space="preserve"> β</w:t>
      </w:r>
      <w:r w:rsidRPr="007A4E46">
        <w:rPr>
          <w:i/>
          <w:sz w:val="24"/>
          <w:szCs w:val="24"/>
          <w:vertAlign w:val="subscript"/>
        </w:rPr>
        <w:t xml:space="preserve">5 </w:t>
      </w:r>
      <w:r w:rsidRPr="007A4E46">
        <w:rPr>
          <w:i/>
          <w:sz w:val="24"/>
          <w:szCs w:val="24"/>
        </w:rPr>
        <w:t>+ X</w:t>
      </w:r>
      <w:r w:rsidRPr="007A4E46">
        <w:rPr>
          <w:i/>
          <w:sz w:val="24"/>
          <w:szCs w:val="24"/>
          <w:vertAlign w:val="subscript"/>
        </w:rPr>
        <w:t>1</w:t>
      </w:r>
      <w:r w:rsidRPr="007A4E46">
        <w:rPr>
          <w:i/>
          <w:sz w:val="24"/>
          <w:szCs w:val="24"/>
        </w:rPr>
        <w:t>X</w:t>
      </w:r>
      <w:r w:rsidRPr="007A4E46">
        <w:rPr>
          <w:i/>
          <w:sz w:val="24"/>
          <w:szCs w:val="24"/>
          <w:vertAlign w:val="subscript"/>
        </w:rPr>
        <w:t>3</w:t>
      </w:r>
      <w:r w:rsidRPr="007A4E46">
        <w:rPr>
          <w:i/>
          <w:sz w:val="24"/>
          <w:szCs w:val="24"/>
        </w:rPr>
        <w:t xml:space="preserve"> β</w:t>
      </w:r>
      <w:r w:rsidRPr="007A4E46">
        <w:rPr>
          <w:i/>
          <w:sz w:val="24"/>
          <w:szCs w:val="24"/>
          <w:vertAlign w:val="subscript"/>
        </w:rPr>
        <w:t>6</w:t>
      </w:r>
      <w:r w:rsidRPr="007A4E46">
        <w:rPr>
          <w:i/>
          <w:sz w:val="24"/>
          <w:szCs w:val="24"/>
        </w:rPr>
        <w:t>+ … X</w:t>
      </w:r>
      <w:r w:rsidRPr="007A4E46">
        <w:rPr>
          <w:i/>
          <w:sz w:val="24"/>
          <w:szCs w:val="24"/>
          <w:vertAlign w:val="subscript"/>
        </w:rPr>
        <w:t>1</w:t>
      </w:r>
      <w:r w:rsidRPr="007A4E46">
        <w:rPr>
          <w:i/>
          <w:sz w:val="24"/>
          <w:szCs w:val="24"/>
        </w:rPr>
        <w:t>X</w:t>
      </w:r>
      <w:r w:rsidRPr="007A4E46">
        <w:rPr>
          <w:i/>
          <w:sz w:val="24"/>
          <w:szCs w:val="24"/>
          <w:vertAlign w:val="subscript"/>
        </w:rPr>
        <w:t>2</w:t>
      </w:r>
      <w:r w:rsidRPr="007A4E46">
        <w:rPr>
          <w:i/>
          <w:sz w:val="24"/>
          <w:szCs w:val="24"/>
        </w:rPr>
        <w:t>X</w:t>
      </w:r>
      <w:r w:rsidRPr="007A4E46">
        <w:rPr>
          <w:i/>
          <w:sz w:val="24"/>
          <w:szCs w:val="24"/>
          <w:vertAlign w:val="subscript"/>
        </w:rPr>
        <w:t>3</w:t>
      </w:r>
      <w:r w:rsidRPr="007A4E46">
        <w:rPr>
          <w:i/>
          <w:sz w:val="24"/>
          <w:szCs w:val="24"/>
        </w:rPr>
        <w:t>X</w:t>
      </w:r>
      <w:r w:rsidRPr="007A4E46">
        <w:rPr>
          <w:i/>
          <w:sz w:val="24"/>
          <w:szCs w:val="24"/>
          <w:vertAlign w:val="subscript"/>
        </w:rPr>
        <w:t>4</w:t>
      </w:r>
      <w:r w:rsidRPr="007A4E46">
        <w:rPr>
          <w:i/>
          <w:sz w:val="24"/>
          <w:szCs w:val="24"/>
        </w:rPr>
        <w:t>X</w:t>
      </w:r>
      <w:r w:rsidRPr="007A4E46">
        <w:rPr>
          <w:i/>
          <w:sz w:val="24"/>
          <w:szCs w:val="24"/>
          <w:vertAlign w:val="subscript"/>
        </w:rPr>
        <w:t>5</w:t>
      </w:r>
      <w:r w:rsidRPr="007A4E46">
        <w:rPr>
          <w:i/>
          <w:sz w:val="24"/>
          <w:szCs w:val="24"/>
        </w:rPr>
        <w:t>β</w:t>
      </w:r>
      <w:r w:rsidRPr="007A4E46">
        <w:rPr>
          <w:i/>
          <w:sz w:val="24"/>
          <w:szCs w:val="24"/>
          <w:vertAlign w:val="subscript"/>
        </w:rPr>
        <w:t>i</w:t>
      </w:r>
      <w:r w:rsidRPr="007A4E46">
        <w:rPr>
          <w:i/>
          <w:sz w:val="24"/>
          <w:szCs w:val="24"/>
        </w:rPr>
        <w:t xml:space="preserve"> + </w:t>
      </w:r>
      <w:r w:rsidRPr="007A4E46">
        <w:rPr>
          <w:rFonts w:cstheme="minorHAnsi"/>
          <w:i/>
          <w:sz w:val="24"/>
          <w:szCs w:val="24"/>
        </w:rPr>
        <w:t>Є</w:t>
      </w:r>
      <w:r w:rsidRPr="007A4E46">
        <w:rPr>
          <w:rFonts w:cstheme="minorHAnsi"/>
          <w:i/>
          <w:sz w:val="24"/>
          <w:szCs w:val="24"/>
          <w:vertAlign w:val="subscript"/>
        </w:rPr>
        <w:t>i</w:t>
      </w:r>
      <w:r>
        <w:rPr>
          <w:rFonts w:cstheme="minorHAnsi"/>
          <w:i/>
          <w:sz w:val="24"/>
          <w:szCs w:val="24"/>
          <w:vertAlign w:val="subscript"/>
        </w:rPr>
        <w:t xml:space="preserve">  </w:t>
      </w:r>
      <w:r w:rsidR="00A67598">
        <w:rPr>
          <w:rFonts w:cstheme="minorHAnsi"/>
          <w:i/>
          <w:sz w:val="24"/>
          <w:szCs w:val="24"/>
          <w:vertAlign w:val="subscript"/>
        </w:rPr>
        <w:tab/>
      </w:r>
      <w:r w:rsidR="00A67598">
        <w:rPr>
          <w:rFonts w:cstheme="minorHAnsi"/>
          <w:i/>
          <w:sz w:val="24"/>
          <w:szCs w:val="24"/>
        </w:rPr>
        <w:t xml:space="preserve">   (3)</w:t>
      </w:r>
      <w:r>
        <w:rPr>
          <w:rFonts w:cstheme="minorHAnsi"/>
          <w:i/>
          <w:sz w:val="24"/>
          <w:szCs w:val="24"/>
          <w:vertAlign w:val="subscript"/>
        </w:rPr>
        <w:t xml:space="preserve">  </w:t>
      </w:r>
    </w:p>
    <w:p w14:paraId="1E458B32" w14:textId="77777777" w:rsidR="009941B8" w:rsidRDefault="009941B8" w:rsidP="00DF6AA7">
      <w:pPr>
        <w:rPr>
          <w:rFonts w:cstheme="minorHAnsi"/>
          <w:sz w:val="24"/>
          <w:szCs w:val="24"/>
        </w:rPr>
      </w:pPr>
    </w:p>
    <w:p w14:paraId="6CF9BE46" w14:textId="15172ABA" w:rsidR="00DF6AA7" w:rsidRPr="00320C61" w:rsidRDefault="00610141" w:rsidP="00DF6AA7">
      <w:pPr>
        <w:jc w:val="both"/>
      </w:pPr>
      <w:r>
        <w:t>Following the same approach as the previous analysis</w:t>
      </w:r>
      <w:r w:rsidR="00A67598">
        <w:t>,</w:t>
      </w:r>
      <w:r w:rsidR="00DF6AA7" w:rsidRPr="00610141">
        <w:t xml:space="preserve"> </w:t>
      </w:r>
      <w:r>
        <w:t>e</w:t>
      </w:r>
      <w:r w:rsidR="00DF6AA7">
        <w:t>quation (3</w:t>
      </w:r>
      <w:r w:rsidR="00DF6AA7" w:rsidRPr="00320C61">
        <w:t xml:space="preserve">) </w:t>
      </w:r>
      <w:r w:rsidR="00DF6AA7">
        <w:t>contains a continuous dependent variable representing the response rate by day 10 after Census in 2011 for a random sample of 3</w:t>
      </w:r>
      <w:r w:rsidR="002842CA">
        <w:t>,</w:t>
      </w:r>
      <w:r w:rsidR="00DF6AA7">
        <w:t>488 LSOAs in E &amp; W</w:t>
      </w:r>
      <w:r w:rsidR="009941B8">
        <w:t xml:space="preserve"> (see </w:t>
      </w:r>
      <w:r w:rsidR="00A67598">
        <w:t>table 3</w:t>
      </w:r>
      <w:r w:rsidR="009941B8">
        <w:t xml:space="preserve"> for descriptives)</w:t>
      </w:r>
      <w:r w:rsidR="00DF6AA7">
        <w:t>. The predictor variables</w:t>
      </w:r>
      <w:r w:rsidR="00F83EBB" w:rsidRPr="00F83EBB">
        <w:t xml:space="preserve"> </w:t>
      </w:r>
      <w:r w:rsidR="00F83EBB">
        <w:t xml:space="preserve">in the model </w:t>
      </w:r>
      <w:r w:rsidR="00970A4E">
        <w:t>are</w:t>
      </w:r>
      <w:r w:rsidR="00F83EBB">
        <w:t xml:space="preserve"> presented </w:t>
      </w:r>
      <w:r w:rsidR="00970A4E">
        <w:t xml:space="preserve">next </w:t>
      </w:r>
      <w:r w:rsidR="00F83EBB">
        <w:t>with the description of all possible levels</w:t>
      </w:r>
      <w:r w:rsidR="00DF6AA7">
        <w:t>:</w:t>
      </w:r>
    </w:p>
    <w:p w14:paraId="44057DB6" w14:textId="5CC4D718" w:rsidR="00DF6AA7" w:rsidRDefault="00C03A77" w:rsidP="00DF6AA7">
      <w:pPr>
        <w:pStyle w:val="ListParagraph"/>
        <w:numPr>
          <w:ilvl w:val="0"/>
          <w:numId w:val="19"/>
        </w:numPr>
        <w:spacing w:after="160" w:line="259" w:lineRule="auto"/>
      </w:pPr>
      <w:r>
        <w:t>HtC</w:t>
      </w:r>
      <w:r w:rsidR="00DF6AA7">
        <w:t xml:space="preserve"> </w:t>
      </w:r>
      <w:r w:rsidR="00A67598">
        <w:t xml:space="preserve">(one of </w:t>
      </w:r>
      <w:r w:rsidR="00A432AE">
        <w:t>5 levels</w:t>
      </w:r>
      <w:r w:rsidR="00F83EBB">
        <w:t xml:space="preserve"> – HtC 1; HtC 2; HtC 3; HtC 4; HtC 5)</w:t>
      </w:r>
      <w:r w:rsidR="00644813">
        <w:t>;</w:t>
      </w:r>
    </w:p>
    <w:p w14:paraId="4D4EC020" w14:textId="77777777" w:rsidR="00F83EBB" w:rsidRDefault="00F83EBB" w:rsidP="00F83EBB">
      <w:pPr>
        <w:pStyle w:val="ListParagraph"/>
        <w:spacing w:after="160" w:line="259" w:lineRule="auto"/>
      </w:pPr>
    </w:p>
    <w:p w14:paraId="21B499BE" w14:textId="067C9A26" w:rsidR="00DF6AA7" w:rsidRDefault="00DF6AA7" w:rsidP="00DF6AA7">
      <w:pPr>
        <w:pStyle w:val="ListParagraph"/>
        <w:numPr>
          <w:ilvl w:val="0"/>
          <w:numId w:val="19"/>
        </w:numPr>
        <w:spacing w:after="160" w:line="259" w:lineRule="auto"/>
      </w:pPr>
      <w:r>
        <w:t>predominant age group H</w:t>
      </w:r>
      <w:r w:rsidR="00A432AE">
        <w:t>RP (one of 5 levels</w:t>
      </w:r>
      <w:r w:rsidR="00F83EBB">
        <w:t xml:space="preserve"> – up to 24; 25 to 44; 45 to 64; 65 to 74; 75 and over</w:t>
      </w:r>
      <w:r w:rsidR="00A432AE">
        <w:t>)</w:t>
      </w:r>
      <w:r w:rsidR="00644813">
        <w:t>;</w:t>
      </w:r>
    </w:p>
    <w:p w14:paraId="3A9F4D3B" w14:textId="77777777" w:rsidR="00F83EBB" w:rsidRDefault="00F83EBB" w:rsidP="00F83EBB">
      <w:pPr>
        <w:pStyle w:val="ListParagraph"/>
        <w:spacing w:after="160" w:line="259" w:lineRule="auto"/>
      </w:pPr>
    </w:p>
    <w:p w14:paraId="287AD3B5" w14:textId="753262E4" w:rsidR="00DF6AA7" w:rsidRDefault="00A432AE" w:rsidP="00DF6AA7">
      <w:pPr>
        <w:pStyle w:val="ListParagraph"/>
        <w:numPr>
          <w:ilvl w:val="0"/>
          <w:numId w:val="19"/>
        </w:numPr>
        <w:spacing w:after="160" w:line="259" w:lineRule="auto"/>
      </w:pPr>
      <w:r>
        <w:t>predominant gender group HRP (one of 2 levels</w:t>
      </w:r>
      <w:r w:rsidR="00F83EBB">
        <w:t xml:space="preserve"> – female; male</w:t>
      </w:r>
      <w:r>
        <w:t>)</w:t>
      </w:r>
      <w:r w:rsidR="00644813">
        <w:t>;</w:t>
      </w:r>
    </w:p>
    <w:p w14:paraId="37D0C204" w14:textId="77777777" w:rsidR="00F83EBB" w:rsidRDefault="00F83EBB" w:rsidP="00F83EBB">
      <w:pPr>
        <w:pStyle w:val="ListParagraph"/>
        <w:spacing w:after="160" w:line="259" w:lineRule="auto"/>
      </w:pPr>
    </w:p>
    <w:p w14:paraId="0B189DC0" w14:textId="50255988" w:rsidR="00DF6AA7" w:rsidRDefault="00DF6AA7" w:rsidP="00DF6AA7">
      <w:pPr>
        <w:pStyle w:val="ListParagraph"/>
        <w:numPr>
          <w:ilvl w:val="0"/>
          <w:numId w:val="19"/>
        </w:numPr>
        <w:spacing w:after="160" w:line="259" w:lineRule="auto"/>
      </w:pPr>
      <w:r>
        <w:t>predominant household size</w:t>
      </w:r>
      <w:r w:rsidR="00A432AE">
        <w:t xml:space="preserve"> (one of 6 levels</w:t>
      </w:r>
      <w:r w:rsidR="00F83EBB">
        <w:t xml:space="preserve"> – HH1; HH2; HH3; HH4; HH5; HH6 and over</w:t>
      </w:r>
      <w:r w:rsidR="00A432AE">
        <w:t>)</w:t>
      </w:r>
      <w:r w:rsidR="00644813">
        <w:t>;</w:t>
      </w:r>
    </w:p>
    <w:p w14:paraId="5C790C18" w14:textId="77777777" w:rsidR="00F83EBB" w:rsidRDefault="00F83EBB" w:rsidP="00F83EBB">
      <w:pPr>
        <w:pStyle w:val="ListParagraph"/>
        <w:spacing w:after="160" w:line="259" w:lineRule="auto"/>
      </w:pPr>
    </w:p>
    <w:p w14:paraId="3D8D9ADA" w14:textId="6FBE7D1E" w:rsidR="00F83EBB" w:rsidRDefault="00DF6AA7" w:rsidP="004F41D7">
      <w:pPr>
        <w:pStyle w:val="ListParagraph"/>
        <w:numPr>
          <w:ilvl w:val="0"/>
          <w:numId w:val="19"/>
        </w:numPr>
        <w:spacing w:after="160" w:line="259" w:lineRule="auto"/>
      </w:pPr>
      <w:r>
        <w:t>predominant qualifications for HRP</w:t>
      </w:r>
      <w:r w:rsidR="00A432AE">
        <w:t xml:space="preserve"> (one of 7 levels</w:t>
      </w:r>
      <w:r w:rsidR="00F83EBB">
        <w:t xml:space="preserve"> – No qualifications; level 1; level 2; apprenticeship; level 3; level 4; other qualifications</w:t>
      </w:r>
      <w:r w:rsidR="00A432AE">
        <w:t>)</w:t>
      </w:r>
      <w:r w:rsidR="00644813">
        <w:t>.</w:t>
      </w:r>
    </w:p>
    <w:p w14:paraId="79D2D4EA" w14:textId="77777777" w:rsidR="004F41D7" w:rsidRDefault="004F41D7" w:rsidP="004F41D7">
      <w:pPr>
        <w:spacing w:after="160" w:line="259" w:lineRule="auto"/>
      </w:pPr>
    </w:p>
    <w:p w14:paraId="3B2C9AC5" w14:textId="690FA9E4" w:rsidR="00DF6AA7" w:rsidRDefault="00A67598" w:rsidP="00DF6AA7">
      <w:r>
        <w:t>Table 3</w:t>
      </w:r>
      <w:r w:rsidR="009941B8">
        <w:t xml:space="preserve">. </w:t>
      </w:r>
      <w:r w:rsidR="00172561">
        <w:t>B</w:t>
      </w:r>
      <w:r w:rsidR="00DF6AA7">
        <w:t>etween-subject factors and number of observations for each factor level in the model with a random sample of 3</w:t>
      </w:r>
      <w:r w:rsidR="002842CA">
        <w:t>,</w:t>
      </w:r>
      <w:r w:rsidR="00DF6AA7">
        <w:t>488 LSOAs.</w:t>
      </w:r>
    </w:p>
    <w:p w14:paraId="393A5348" w14:textId="77777777" w:rsidR="00DF6AA7" w:rsidRDefault="00DF6AA7" w:rsidP="000C2E42">
      <w:pPr>
        <w:jc w:val="center"/>
      </w:pPr>
      <w:r>
        <w:rPr>
          <w:noProof/>
          <w:lang w:eastAsia="en-GB"/>
        </w:rPr>
        <w:lastRenderedPageBreak/>
        <w:drawing>
          <wp:inline distT="0" distB="0" distL="0" distR="0" wp14:anchorId="197351D3" wp14:editId="7816C2F2">
            <wp:extent cx="2950043" cy="3295752"/>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957197" cy="3303745"/>
                    </a:xfrm>
                    <a:prstGeom prst="rect">
                      <a:avLst/>
                    </a:prstGeom>
                    <a:noFill/>
                  </pic:spPr>
                </pic:pic>
              </a:graphicData>
            </a:graphic>
          </wp:inline>
        </w:drawing>
      </w:r>
    </w:p>
    <w:p w14:paraId="7D3D111D" w14:textId="77777777" w:rsidR="000C2E42" w:rsidRDefault="000C2E42" w:rsidP="000C2E42">
      <w:r>
        <w:t>Table 3. Between-subject factors and number of observations for each factor level in the model with a random sample of 3,488 LSOAs.</w:t>
      </w:r>
    </w:p>
    <w:p w14:paraId="0D99B139" w14:textId="7BD4A9C0" w:rsidR="00DF6AA7" w:rsidRDefault="00A432AE" w:rsidP="00970A4E">
      <w:pPr>
        <w:jc w:val="both"/>
      </w:pPr>
      <w:r>
        <w:t xml:space="preserve">As for the previous analysis, the model with the random sample of 10% of the </w:t>
      </w:r>
      <w:r w:rsidR="00A67598">
        <w:t>set</w:t>
      </w:r>
      <w:r>
        <w:t xml:space="preserve"> of LSOAs showed a similar pattern </w:t>
      </w:r>
      <w:r w:rsidR="009941B8">
        <w:t>as</w:t>
      </w:r>
      <w:r>
        <w:t xml:space="preserve"> the one using the entire sample</w:t>
      </w:r>
      <w:r w:rsidR="009941B8">
        <w:t xml:space="preserve"> (see appendix 3)</w:t>
      </w:r>
      <w:r>
        <w:t xml:space="preserve">. </w:t>
      </w:r>
      <w:r w:rsidR="009941B8">
        <w:t>We can see that a</w:t>
      </w:r>
      <w:r>
        <w:t>ll</w:t>
      </w:r>
      <w:r w:rsidR="00DF6AA7">
        <w:t xml:space="preserve"> </w:t>
      </w:r>
      <w:r w:rsidR="00A171FB">
        <w:t xml:space="preserve">the </w:t>
      </w:r>
      <w:r w:rsidR="00DF6AA7">
        <w:t xml:space="preserve">main effects </w:t>
      </w:r>
      <w:r>
        <w:t>were</w:t>
      </w:r>
      <w:r w:rsidR="00DF6AA7">
        <w:t xml:space="preserve"> </w:t>
      </w:r>
      <w:r w:rsidR="009941B8">
        <w:t xml:space="preserve">still </w:t>
      </w:r>
      <w:r w:rsidR="00DF6AA7">
        <w:t>significant and the magnitude of the effects follow</w:t>
      </w:r>
      <w:r>
        <w:t>ed</w:t>
      </w:r>
      <w:r w:rsidR="00DF6AA7">
        <w:t xml:space="preserve"> the same structure with </w:t>
      </w:r>
      <w:r w:rsidR="00C03A77">
        <w:t>HtC</w:t>
      </w:r>
      <w:r w:rsidR="00DF6AA7">
        <w:t xml:space="preserve"> and age being the most influential variables in th</w:t>
      </w:r>
      <w:r w:rsidR="00A67598">
        <w:t xml:space="preserve">e model. We can also see that </w:t>
      </w:r>
      <w:r w:rsidR="00C03A77">
        <w:t>HtC</w:t>
      </w:r>
      <w:r w:rsidR="00DF6AA7">
        <w:t xml:space="preserve"> significantly interacts with all the other variables (age, gender, household size and qualifications). </w:t>
      </w:r>
    </w:p>
    <w:p w14:paraId="5C3096CC" w14:textId="35F190DB" w:rsidR="00DF6AA7" w:rsidRDefault="00DF6AA7" w:rsidP="00970A4E">
      <w:pPr>
        <w:jc w:val="both"/>
      </w:pPr>
      <w:r w:rsidRPr="00DA0D1E">
        <w:t>The model presents an R</w:t>
      </w:r>
      <w:r w:rsidRPr="00DA0D1E">
        <w:rPr>
          <w:vertAlign w:val="superscript"/>
        </w:rPr>
        <w:t>2</w:t>
      </w:r>
      <w:r>
        <w:t xml:space="preserve"> (R Square)</w:t>
      </w:r>
      <w:r w:rsidRPr="00DA0D1E">
        <w:t> </w:t>
      </w:r>
      <w:r>
        <w:t xml:space="preserve">of </w:t>
      </w:r>
      <w:r w:rsidR="00A67598">
        <w:t>0.80, meaning that 80</w:t>
      </w:r>
      <w:r>
        <w:t xml:space="preserve">% of the </w:t>
      </w:r>
      <w:r w:rsidRPr="00DA0D1E">
        <w:t>proportion of variance in the dependent variable</w:t>
      </w:r>
      <w:r>
        <w:t xml:space="preserve"> (response rate by day 10 after Census day)</w:t>
      </w:r>
      <w:r w:rsidRPr="00DA0D1E">
        <w:t xml:space="preserve"> can be explained by the independent variables </w:t>
      </w:r>
      <w:r w:rsidR="009941B8">
        <w:t>in the model.</w:t>
      </w:r>
    </w:p>
    <w:p w14:paraId="1ADAAE72" w14:textId="77777777" w:rsidR="000C2E42" w:rsidRDefault="000C2E42" w:rsidP="00DF6AA7">
      <w:pPr>
        <w:rPr>
          <w:b/>
          <w:i/>
        </w:rPr>
      </w:pPr>
    </w:p>
    <w:p w14:paraId="4F15E7B3" w14:textId="2AC67747" w:rsidR="00E24F8C" w:rsidRDefault="00E24F8C" w:rsidP="00DF6AA7">
      <w:r w:rsidRPr="00974F97">
        <w:rPr>
          <w:b/>
          <w:i/>
        </w:rPr>
        <w:t>Post Hoc Tests</w:t>
      </w:r>
    </w:p>
    <w:p w14:paraId="1666A4D5" w14:textId="7A7DB346" w:rsidR="00DF6AA7" w:rsidRDefault="009941B8" w:rsidP="00970A4E">
      <w:pPr>
        <w:jc w:val="both"/>
      </w:pPr>
      <w:r w:rsidRPr="009941B8">
        <w:t>Detailed</w:t>
      </w:r>
      <w:r>
        <w:rPr>
          <w:i/>
        </w:rPr>
        <w:t xml:space="preserve"> </w:t>
      </w:r>
      <w:r w:rsidR="00DF6AA7" w:rsidRPr="00DA0D1E">
        <w:rPr>
          <w:i/>
        </w:rPr>
        <w:t>Post hoc tests</w:t>
      </w:r>
      <w:r w:rsidR="00DF6AA7">
        <w:t xml:space="preserve"> </w:t>
      </w:r>
      <w:r>
        <w:t xml:space="preserve">for each independent variable </w:t>
      </w:r>
      <w:r w:rsidR="00DF6AA7">
        <w:t>were also performed</w:t>
      </w:r>
      <w:r>
        <w:t xml:space="preserve"> to provide insight about the </w:t>
      </w:r>
      <w:r w:rsidR="00DF6AA7">
        <w:t xml:space="preserve">  </w:t>
      </w:r>
      <w:r>
        <w:t>relationship between the predictor and outcome variable</w:t>
      </w:r>
      <w:r w:rsidR="00A67598">
        <w:t>s</w:t>
      </w:r>
      <w:r>
        <w:t xml:space="preserve">. For </w:t>
      </w:r>
      <w:r w:rsidR="00B05B51">
        <w:t>instance,</w:t>
      </w:r>
      <w:r>
        <w:t xml:space="preserve"> an analysis</w:t>
      </w:r>
      <w:r w:rsidR="00EC6877">
        <w:t xml:space="preserve"> of the</w:t>
      </w:r>
      <w:r>
        <w:t xml:space="preserve"> different </w:t>
      </w:r>
      <w:r w:rsidR="00C03A77">
        <w:t>HtC</w:t>
      </w:r>
      <w:r w:rsidR="00DF6AA7">
        <w:t xml:space="preserve"> levels </w:t>
      </w:r>
      <w:r>
        <w:t xml:space="preserve">revealed that they </w:t>
      </w:r>
      <w:r w:rsidR="00DF6AA7">
        <w:t>are significantly different from each other (sig</w:t>
      </w:r>
      <w:r w:rsidR="00A171FB">
        <w:t xml:space="preserve"> &lt;</w:t>
      </w:r>
      <w:r w:rsidR="00DF6AA7">
        <w:t>.0001)</w:t>
      </w:r>
      <w:r>
        <w:t xml:space="preserve">.  More </w:t>
      </w:r>
      <w:r w:rsidR="00B05B51">
        <w:t>precisely</w:t>
      </w:r>
      <w:r w:rsidR="00EC6877">
        <w:t xml:space="preserve"> </w:t>
      </w:r>
      <w:r w:rsidR="00C03A77">
        <w:t>HtC</w:t>
      </w:r>
      <w:r w:rsidR="00DF6AA7">
        <w:t xml:space="preserve"> 1 </w:t>
      </w:r>
      <w:r w:rsidR="00B05B51">
        <w:t xml:space="preserve">is </w:t>
      </w:r>
      <w:r w:rsidR="00DF6AA7">
        <w:t xml:space="preserve">significantly </w:t>
      </w:r>
      <w:r w:rsidR="00B05B51">
        <w:t>associated to</w:t>
      </w:r>
      <w:r w:rsidR="00DF6AA7">
        <w:t xml:space="preserve"> higher self-response rate (D10 after Census day) </w:t>
      </w:r>
      <w:r w:rsidR="00B05B51">
        <w:t xml:space="preserve">compared with </w:t>
      </w:r>
      <w:r w:rsidR="00DF6AA7">
        <w:t xml:space="preserve">the </w:t>
      </w:r>
      <w:r w:rsidR="00B05B51">
        <w:t>other</w:t>
      </w:r>
      <w:r w:rsidR="00EC6877">
        <w:t xml:space="preserve"> </w:t>
      </w:r>
      <w:r w:rsidR="00C03A77">
        <w:t>HtC</w:t>
      </w:r>
      <w:r w:rsidR="00B05B51">
        <w:t xml:space="preserve"> levels</w:t>
      </w:r>
      <w:r w:rsidR="00DF6AA7">
        <w:t xml:space="preserve">. </w:t>
      </w:r>
      <w:r w:rsidR="00B05B51">
        <w:t>The opposite trend is observed in</w:t>
      </w:r>
      <w:r w:rsidR="00EC6877">
        <w:t xml:space="preserve"> </w:t>
      </w:r>
      <w:r w:rsidR="00C03A77">
        <w:t>HtC</w:t>
      </w:r>
      <w:r w:rsidR="00DF6AA7">
        <w:t xml:space="preserve"> 5 </w:t>
      </w:r>
      <w:r w:rsidR="00B05B51">
        <w:t xml:space="preserve">response that is found to </w:t>
      </w:r>
      <w:r w:rsidR="00EC6877">
        <w:t xml:space="preserve">be </w:t>
      </w:r>
      <w:r w:rsidR="00DF6AA7">
        <w:t>significantly lowe</w:t>
      </w:r>
      <w:r w:rsidR="00EC6877">
        <w:t xml:space="preserve">r compared with all the other </w:t>
      </w:r>
      <w:r w:rsidR="00C03A77">
        <w:t>HtC</w:t>
      </w:r>
      <w:r w:rsidR="00DF6AA7">
        <w:t>s.</w:t>
      </w:r>
    </w:p>
    <w:p w14:paraId="7ACE3AF2" w14:textId="77777777" w:rsidR="00B05B51" w:rsidRDefault="00B05B51" w:rsidP="00DF6AA7"/>
    <w:p w14:paraId="66A7E784" w14:textId="77777777" w:rsidR="00DF6AA7" w:rsidRDefault="00DF6AA7" w:rsidP="000C2E42">
      <w:pPr>
        <w:jc w:val="center"/>
      </w:pPr>
      <w:r>
        <w:rPr>
          <w:noProof/>
          <w:lang w:eastAsia="en-GB"/>
        </w:rPr>
        <w:lastRenderedPageBreak/>
        <w:drawing>
          <wp:inline distT="0" distB="0" distL="0" distR="0" wp14:anchorId="1C41C011" wp14:editId="21721349">
            <wp:extent cx="5020544" cy="4821382"/>
            <wp:effectExtent l="0" t="0" r="889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024487" cy="4825168"/>
                    </a:xfrm>
                    <a:prstGeom prst="rect">
                      <a:avLst/>
                    </a:prstGeom>
                    <a:noFill/>
                  </pic:spPr>
                </pic:pic>
              </a:graphicData>
            </a:graphic>
          </wp:inline>
        </w:drawing>
      </w:r>
    </w:p>
    <w:p w14:paraId="3B54DCF1" w14:textId="77777777" w:rsidR="000C2E42" w:rsidRDefault="000C2E42" w:rsidP="000C2E42">
      <w:r>
        <w:t>Table 4. Post hoc test (multiple comparisons) for HtC levels using a Bonferroni correction in the model with a random sample of 3,488 LSOAs.</w:t>
      </w:r>
    </w:p>
    <w:p w14:paraId="5269A01F" w14:textId="41ACCB30" w:rsidR="00DF6AA7" w:rsidRDefault="00B05B51" w:rsidP="00970A4E">
      <w:pPr>
        <w:jc w:val="both"/>
      </w:pPr>
      <w:r>
        <w:t xml:space="preserve">The second </w:t>
      </w:r>
      <w:r w:rsidR="00DF6AA7" w:rsidRPr="00DA0D1E">
        <w:rPr>
          <w:i/>
        </w:rPr>
        <w:t>Post hoc tests</w:t>
      </w:r>
      <w:r w:rsidR="00DF6AA7">
        <w:t xml:space="preserve"> </w:t>
      </w:r>
      <w:r>
        <w:t>considered the variable predominant age group for HRP</w:t>
      </w:r>
      <w:r w:rsidRPr="000346AB">
        <w:rPr>
          <w:color w:val="000000" w:themeColor="text1"/>
        </w:rPr>
        <w:t xml:space="preserve">. </w:t>
      </w:r>
      <w:r w:rsidR="000C1357">
        <w:rPr>
          <w:color w:val="000000" w:themeColor="text1"/>
        </w:rPr>
        <w:t>An analysis</w:t>
      </w:r>
      <w:r w:rsidR="00EC6877">
        <w:rPr>
          <w:color w:val="000000" w:themeColor="text1"/>
        </w:rPr>
        <w:t xml:space="preserve"> of </w:t>
      </w:r>
      <w:r w:rsidR="000C1357">
        <w:rPr>
          <w:color w:val="000000" w:themeColor="text1"/>
        </w:rPr>
        <w:t xml:space="preserve">the </w:t>
      </w:r>
      <w:r w:rsidR="00DF6AA7" w:rsidRPr="000346AB">
        <w:rPr>
          <w:color w:val="000000" w:themeColor="text1"/>
        </w:rPr>
        <w:t xml:space="preserve">different </w:t>
      </w:r>
      <w:r w:rsidR="00DF6AA7">
        <w:t xml:space="preserve">levels of the variable showed significant differences between each one of the levels of the variable (sig </w:t>
      </w:r>
      <w:r w:rsidR="00A171FB">
        <w:t>&lt;</w:t>
      </w:r>
      <w:r w:rsidR="00DF6AA7">
        <w:t xml:space="preserve">.0001). For instance, age group 25 to 44 </w:t>
      </w:r>
      <w:r w:rsidR="000C1357">
        <w:t xml:space="preserve">was associated </w:t>
      </w:r>
      <w:r w:rsidR="00EC6877">
        <w:t>with</w:t>
      </w:r>
      <w:r w:rsidR="000C1357">
        <w:t xml:space="preserve"> the lowest</w:t>
      </w:r>
      <w:r w:rsidR="00EC6877">
        <w:t xml:space="preserve"> self-response whilst</w:t>
      </w:r>
      <w:r w:rsidR="00DF6AA7">
        <w:t xml:space="preserve"> age group </w:t>
      </w:r>
      <w:r w:rsidR="00EC6877">
        <w:t>75 and over presented the highest</w:t>
      </w:r>
      <w:r w:rsidR="00DF6AA7">
        <w:t xml:space="preserve"> value for response in day 10 after Census.</w:t>
      </w:r>
    </w:p>
    <w:p w14:paraId="4936755D" w14:textId="77777777" w:rsidR="00644813" w:rsidRDefault="00644813" w:rsidP="00970A4E">
      <w:pPr>
        <w:jc w:val="both"/>
      </w:pPr>
    </w:p>
    <w:p w14:paraId="6F877327" w14:textId="77777777" w:rsidR="000C2E42" w:rsidRDefault="000C2E42" w:rsidP="000C2E42">
      <w:pPr>
        <w:jc w:val="center"/>
      </w:pPr>
    </w:p>
    <w:p w14:paraId="19AE8392" w14:textId="77777777" w:rsidR="000C2E42" w:rsidRDefault="000C2E42" w:rsidP="000C2E42">
      <w:pPr>
        <w:jc w:val="center"/>
      </w:pPr>
    </w:p>
    <w:p w14:paraId="1D11AF0E" w14:textId="3A5994CE" w:rsidR="00DF6AA7" w:rsidRDefault="00DF6AA7" w:rsidP="000C2E42">
      <w:pPr>
        <w:jc w:val="center"/>
      </w:pPr>
      <w:r>
        <w:rPr>
          <w:noProof/>
          <w:lang w:eastAsia="en-GB"/>
        </w:rPr>
        <w:lastRenderedPageBreak/>
        <w:drawing>
          <wp:inline distT="0" distB="0" distL="0" distR="0" wp14:anchorId="305A9975" wp14:editId="1EBDF15A">
            <wp:extent cx="5596383" cy="2246015"/>
            <wp:effectExtent l="0" t="0" r="4445"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600825" cy="2247798"/>
                    </a:xfrm>
                    <a:prstGeom prst="rect">
                      <a:avLst/>
                    </a:prstGeom>
                    <a:noFill/>
                  </pic:spPr>
                </pic:pic>
              </a:graphicData>
            </a:graphic>
          </wp:inline>
        </w:drawing>
      </w:r>
    </w:p>
    <w:p w14:paraId="3600A5A2" w14:textId="77777777" w:rsidR="000C2E42" w:rsidRDefault="000C2E42" w:rsidP="000C2E42">
      <w:pPr>
        <w:jc w:val="both"/>
      </w:pPr>
      <w:r>
        <w:t>Table 5. Post hoc tests for predominant age group for HRP in the model with a random sample of 3,488 LSOAs.</w:t>
      </w:r>
    </w:p>
    <w:p w14:paraId="4A7567E1" w14:textId="56FA3E9F" w:rsidR="00DF6AA7" w:rsidRDefault="00DF6AA7" w:rsidP="00970A4E">
      <w:pPr>
        <w:jc w:val="both"/>
      </w:pPr>
      <w:r>
        <w:t xml:space="preserve">Regarding the variable predominant household size </w:t>
      </w:r>
      <w:r w:rsidRPr="00F027C8">
        <w:rPr>
          <w:i/>
        </w:rPr>
        <w:t xml:space="preserve">Post hoc </w:t>
      </w:r>
      <w:r w:rsidR="00776410">
        <w:rPr>
          <w:i/>
        </w:rPr>
        <w:t>t</w:t>
      </w:r>
      <w:r w:rsidRPr="00F027C8">
        <w:rPr>
          <w:i/>
        </w:rPr>
        <w:t>ests</w:t>
      </w:r>
      <w:r>
        <w:t xml:space="preserve"> also provided significant differences between all levels of the variable (sig </w:t>
      </w:r>
      <w:r w:rsidR="00A171FB">
        <w:t>&lt;</w:t>
      </w:r>
      <w:r>
        <w:t>.0001). More precisely, households with 5 occupants provided a significantly lower response than households with 1 or 2 occupants. Also</w:t>
      </w:r>
      <w:r w:rsidR="00EC6877">
        <w:t>,</w:t>
      </w:r>
      <w:r>
        <w:t xml:space="preserve"> households with 1 occupant were associated </w:t>
      </w:r>
      <w:r w:rsidR="00EC6877">
        <w:t>with</w:t>
      </w:r>
      <w:r>
        <w:t xml:space="preserve"> significantly lower responses when compared to households with 2 occupants. </w:t>
      </w:r>
    </w:p>
    <w:p w14:paraId="66E4844C" w14:textId="77777777" w:rsidR="00644813" w:rsidRDefault="00644813" w:rsidP="00970A4E">
      <w:pPr>
        <w:jc w:val="both"/>
      </w:pPr>
    </w:p>
    <w:p w14:paraId="6081CECC" w14:textId="77777777" w:rsidR="00DF6AA7" w:rsidRDefault="00DF6AA7" w:rsidP="000C2E42">
      <w:pPr>
        <w:jc w:val="center"/>
      </w:pPr>
      <w:r>
        <w:rPr>
          <w:noProof/>
          <w:lang w:eastAsia="en-GB"/>
        </w:rPr>
        <w:drawing>
          <wp:inline distT="0" distB="0" distL="0" distR="0" wp14:anchorId="77E0C6FC" wp14:editId="053EA1B8">
            <wp:extent cx="5691720" cy="2330895"/>
            <wp:effectExtent l="0" t="0" r="444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03599" cy="2335760"/>
                    </a:xfrm>
                    <a:prstGeom prst="rect">
                      <a:avLst/>
                    </a:prstGeom>
                    <a:noFill/>
                  </pic:spPr>
                </pic:pic>
              </a:graphicData>
            </a:graphic>
          </wp:inline>
        </w:drawing>
      </w:r>
    </w:p>
    <w:p w14:paraId="507FD359" w14:textId="77777777" w:rsidR="000C2E42" w:rsidRDefault="000C2E42" w:rsidP="000C2E42">
      <w:pPr>
        <w:jc w:val="both"/>
      </w:pPr>
      <w:r>
        <w:t xml:space="preserve">Table 6. </w:t>
      </w:r>
      <w:r w:rsidRPr="00970A4E">
        <w:rPr>
          <w:i/>
        </w:rPr>
        <w:t xml:space="preserve">Post hoc </w:t>
      </w:r>
      <w:r>
        <w:rPr>
          <w:i/>
        </w:rPr>
        <w:t>t</w:t>
      </w:r>
      <w:r w:rsidRPr="00970A4E">
        <w:rPr>
          <w:i/>
        </w:rPr>
        <w:t>ests</w:t>
      </w:r>
      <w:r>
        <w:t xml:space="preserve"> for variable household size in the model with a random sample of 3,488 LSOAs.</w:t>
      </w:r>
    </w:p>
    <w:p w14:paraId="6EE75FEB" w14:textId="3BF9D3CC" w:rsidR="00DF6AA7" w:rsidRDefault="000C1357" w:rsidP="00970A4E">
      <w:pPr>
        <w:jc w:val="both"/>
      </w:pPr>
      <w:r>
        <w:t xml:space="preserve">The last step included evaluating the interaction </w:t>
      </w:r>
      <w:r w:rsidR="00E24F8C">
        <w:t>effects between</w:t>
      </w:r>
      <w:r>
        <w:t xml:space="preserve"> predictor variables in the model. Several </w:t>
      </w:r>
      <w:r w:rsidR="00DF6AA7">
        <w:t>interactions were found significant</w:t>
      </w:r>
      <w:r>
        <w:t xml:space="preserve"> (see appendix 3)</w:t>
      </w:r>
      <w:r w:rsidR="00E24F8C">
        <w:t xml:space="preserve"> suggesting that profiles might need to consider these effects as they are influential in predicting response patterns</w:t>
      </w:r>
      <w:r w:rsidR="00DF6AA7">
        <w:t>. For example</w:t>
      </w:r>
      <w:r w:rsidR="00E24F8C">
        <w:t xml:space="preserve">, a detailed analysis </w:t>
      </w:r>
      <w:r w:rsidR="00EC6877">
        <w:t xml:space="preserve">of the interaction between </w:t>
      </w:r>
      <w:r w:rsidR="00C03A77">
        <w:t>HtC</w:t>
      </w:r>
      <w:r w:rsidR="00DF6AA7">
        <w:t xml:space="preserve">, age, gender and HH size </w:t>
      </w:r>
      <w:r w:rsidR="00E24F8C">
        <w:t xml:space="preserve">revealed </w:t>
      </w:r>
      <w:r w:rsidR="00DF6AA7">
        <w:t xml:space="preserve">significant </w:t>
      </w:r>
      <w:r w:rsidR="00E24F8C">
        <w:t xml:space="preserve">effects </w:t>
      </w:r>
      <w:r w:rsidR="00EC6877">
        <w:t xml:space="preserve">for </w:t>
      </w:r>
      <w:r w:rsidR="00DF6AA7">
        <w:t>males</w:t>
      </w:r>
      <w:r w:rsidR="00E76832">
        <w:t>’</w:t>
      </w:r>
      <w:r w:rsidR="00DF6AA7">
        <w:t xml:space="preserve"> </w:t>
      </w:r>
      <w:r w:rsidR="00E24F8C">
        <w:t xml:space="preserve">response to Census but not </w:t>
      </w:r>
      <w:r w:rsidR="00DF6AA7">
        <w:t>significant for female HRP as shown</w:t>
      </w:r>
      <w:r w:rsidR="00503E0C">
        <w:t xml:space="preserve"> in</w:t>
      </w:r>
      <w:r w:rsidR="00DF6AA7">
        <w:t xml:space="preserve"> </w:t>
      </w:r>
      <w:r w:rsidR="00EC6877">
        <w:t>Figure 3</w:t>
      </w:r>
      <w:r w:rsidR="00E24F8C">
        <w:t>.</w:t>
      </w:r>
    </w:p>
    <w:p w14:paraId="3D57A538" w14:textId="77777777" w:rsidR="00DF6AA7" w:rsidRDefault="00DF6AA7" w:rsidP="00DF6AA7"/>
    <w:p w14:paraId="12C36E32" w14:textId="77777777" w:rsidR="00DF6AA7" w:rsidRDefault="00DF6AA7" w:rsidP="000C2E42">
      <w:pPr>
        <w:jc w:val="center"/>
      </w:pPr>
      <w:r>
        <w:rPr>
          <w:noProof/>
          <w:lang w:eastAsia="en-GB"/>
        </w:rPr>
        <w:drawing>
          <wp:inline distT="0" distB="0" distL="0" distR="0" wp14:anchorId="4ECEC02C" wp14:editId="6CAF37E4">
            <wp:extent cx="4522025" cy="3623371"/>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525222" cy="3625933"/>
                    </a:xfrm>
                    <a:prstGeom prst="rect">
                      <a:avLst/>
                    </a:prstGeom>
                    <a:noFill/>
                  </pic:spPr>
                </pic:pic>
              </a:graphicData>
            </a:graphic>
          </wp:inline>
        </w:drawing>
      </w:r>
    </w:p>
    <w:p w14:paraId="5A839A7F" w14:textId="77777777" w:rsidR="000C2E42" w:rsidRDefault="000C2E42" w:rsidP="000C2E42">
      <w:r>
        <w:t>Figure 3. Plotting interaction between HtC, age, gender and HH Post hoc tests in the model with a random sample of 3,488 LSOAs.</w:t>
      </w:r>
    </w:p>
    <w:p w14:paraId="6E674276" w14:textId="60902868" w:rsidR="00E24F8C" w:rsidRDefault="00E24F8C" w:rsidP="00DF6AA7">
      <w:pPr>
        <w:rPr>
          <w:b/>
        </w:rPr>
      </w:pPr>
      <w:r w:rsidRPr="00974F97">
        <w:rPr>
          <w:b/>
        </w:rPr>
        <w:t>Modelling continuous longitudinal data</w:t>
      </w:r>
    </w:p>
    <w:p w14:paraId="4B8DDC54" w14:textId="43D85E5D" w:rsidR="00196675" w:rsidRDefault="00196675" w:rsidP="00970A4E">
      <w:pPr>
        <w:jc w:val="both"/>
      </w:pPr>
      <w:r w:rsidRPr="00E24F8C">
        <w:t xml:space="preserve">The last analysis consisted </w:t>
      </w:r>
      <w:r w:rsidR="0038076E">
        <w:t>of</w:t>
      </w:r>
      <w:r>
        <w:t xml:space="preserve"> performing a Generalized mixed model (GLIMMIX procedure) </w:t>
      </w:r>
      <w:r w:rsidRPr="00E24F8C">
        <w:t xml:space="preserve">using the predictor variables </w:t>
      </w:r>
      <w:r w:rsidR="00C03A77">
        <w:t>HtC</w:t>
      </w:r>
      <w:r>
        <w:t xml:space="preserve"> and </w:t>
      </w:r>
      <w:r w:rsidRPr="00E24F8C">
        <w:t>predominant</w:t>
      </w:r>
      <w:r>
        <w:t xml:space="preserve"> age group for HRP</w:t>
      </w:r>
      <w:r w:rsidR="00DF1A12">
        <w:t>, and the time variable as a random effect</w:t>
      </w:r>
      <w:r>
        <w:t>. W</w:t>
      </w:r>
      <w:r w:rsidRPr="00E24F8C">
        <w:t>eekly resp</w:t>
      </w:r>
      <w:r>
        <w:t xml:space="preserve">onse rates (with </w:t>
      </w:r>
      <w:r w:rsidR="0038076E">
        <w:t>five time</w:t>
      </w:r>
      <w:r>
        <w:t xml:space="preserve"> points) </w:t>
      </w:r>
      <w:r w:rsidRPr="00E24F8C">
        <w:t>for all LSOAs in England and Wales</w:t>
      </w:r>
      <w:r>
        <w:t xml:space="preserve"> were </w:t>
      </w:r>
      <w:r w:rsidR="00DF1A12">
        <w:t xml:space="preserve">included in the analysis to evaluate the effect </w:t>
      </w:r>
      <w:r w:rsidR="00922037">
        <w:t>of</w:t>
      </w:r>
      <w:r w:rsidR="00DF1A12">
        <w:t xml:space="preserve"> the two predictors (between-subject variables) on time (repeated measures variable)</w:t>
      </w:r>
      <w:r w:rsidR="00A171FB">
        <w:t xml:space="preserve">. </w:t>
      </w:r>
    </w:p>
    <w:p w14:paraId="6E7201F3" w14:textId="70A86A22" w:rsidR="00196675" w:rsidRDefault="00196675" w:rsidP="000C2E42">
      <w:pPr>
        <w:jc w:val="center"/>
      </w:pPr>
      <w:r w:rsidRPr="00196675">
        <w:rPr>
          <w:noProof/>
        </w:rPr>
        <w:drawing>
          <wp:inline distT="0" distB="0" distL="0" distR="0" wp14:anchorId="190012DA" wp14:editId="32DFF3C3">
            <wp:extent cx="1834243" cy="162350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840321" cy="1628884"/>
                    </a:xfrm>
                    <a:prstGeom prst="rect">
                      <a:avLst/>
                    </a:prstGeom>
                    <a:noFill/>
                    <a:ln>
                      <a:noFill/>
                    </a:ln>
                  </pic:spPr>
                </pic:pic>
              </a:graphicData>
            </a:graphic>
          </wp:inline>
        </w:drawing>
      </w:r>
    </w:p>
    <w:p w14:paraId="5104F190" w14:textId="77777777" w:rsidR="000C2E42" w:rsidRDefault="000C2E42" w:rsidP="000C2E42">
      <w:r>
        <w:t>Table 7. Fit Statistics for mixed model regression using the GLIMMIX procedure in SAS</w:t>
      </w:r>
    </w:p>
    <w:p w14:paraId="07FC8C2C" w14:textId="77777777" w:rsidR="00970A4E" w:rsidRDefault="00970A4E" w:rsidP="00C6169D"/>
    <w:p w14:paraId="334AB678" w14:textId="138A4CF4" w:rsidR="00922037" w:rsidRDefault="00196675" w:rsidP="00922037">
      <w:r>
        <w:t>The model shows that both between subject variables (</w:t>
      </w:r>
      <w:r w:rsidR="00C03A77">
        <w:t>HtC</w:t>
      </w:r>
      <w:r>
        <w:t xml:space="preserve"> and </w:t>
      </w:r>
      <w:r w:rsidR="00DB08CF">
        <w:t>Age group</w:t>
      </w:r>
      <w:r>
        <w:t xml:space="preserve">) are significant </w:t>
      </w:r>
      <w:r w:rsidR="00DB08CF">
        <w:t>predictors</w:t>
      </w:r>
      <w:r w:rsidR="00A171FB">
        <w:t xml:space="preserve"> of the period of response</w:t>
      </w:r>
      <w:r w:rsidR="0038076E">
        <w:t>.</w:t>
      </w:r>
      <w:r w:rsidR="00DB08CF">
        <w:t xml:space="preserve"> </w:t>
      </w:r>
      <w:r w:rsidR="008729B8">
        <w:t>It</w:t>
      </w:r>
      <w:r w:rsidR="00DB08CF">
        <w:t xml:space="preserve"> also shows that the repeated measures variable (Time) and the mixed effe</w:t>
      </w:r>
      <w:r w:rsidR="0038076E">
        <w:t>cts interaction are significant</w:t>
      </w:r>
      <w:r w:rsidR="00DB08CF">
        <w:t xml:space="preserve"> (see </w:t>
      </w:r>
      <w:r w:rsidR="0038076E">
        <w:t>table 8)</w:t>
      </w:r>
      <w:r w:rsidR="00DB08CF">
        <w:t xml:space="preserve">. This analysis suggests that </w:t>
      </w:r>
      <w:r w:rsidR="00C03A77">
        <w:t>HtC</w:t>
      </w:r>
      <w:r w:rsidR="00DB08CF">
        <w:t xml:space="preserve"> and Age are influential for the distribution of the response rate by LSOA across the </w:t>
      </w:r>
      <w:r w:rsidR="0038076E">
        <w:t>five</w:t>
      </w:r>
      <w:r w:rsidR="00DB08CF">
        <w:t xml:space="preserve"> different time </w:t>
      </w:r>
      <w:r w:rsidR="00922037">
        <w:t xml:space="preserve">periods (see table in appendix 4). </w:t>
      </w:r>
    </w:p>
    <w:p w14:paraId="3BB6E669" w14:textId="77777777" w:rsidR="004F41D7" w:rsidRDefault="004F41D7" w:rsidP="00922037"/>
    <w:p w14:paraId="4838E706" w14:textId="77777777" w:rsidR="00196675" w:rsidRDefault="00196675" w:rsidP="000C2E42">
      <w:pPr>
        <w:jc w:val="center"/>
      </w:pPr>
      <w:r w:rsidRPr="00196675">
        <w:rPr>
          <w:noProof/>
        </w:rPr>
        <w:drawing>
          <wp:inline distT="0" distB="0" distL="0" distR="0" wp14:anchorId="54974D04" wp14:editId="0EFADB54">
            <wp:extent cx="3276600" cy="1151268"/>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316776" cy="1165384"/>
                    </a:xfrm>
                    <a:prstGeom prst="rect">
                      <a:avLst/>
                    </a:prstGeom>
                    <a:noFill/>
                    <a:ln>
                      <a:noFill/>
                    </a:ln>
                  </pic:spPr>
                </pic:pic>
              </a:graphicData>
            </a:graphic>
          </wp:inline>
        </w:drawing>
      </w:r>
    </w:p>
    <w:p w14:paraId="78677DE4" w14:textId="77777777" w:rsidR="000C2E42" w:rsidRDefault="000C2E42" w:rsidP="000C2E42">
      <w:r>
        <w:t>Table 8. Type III effects for mixed model regression using the GLIMMIX procedure in SAS</w:t>
      </w:r>
    </w:p>
    <w:p w14:paraId="031AFD27" w14:textId="33CA80BF" w:rsidR="00642C31" w:rsidRDefault="00922037" w:rsidP="004F41D7">
      <w:pPr>
        <w:pStyle w:val="Heading1"/>
        <w:numPr>
          <w:ilvl w:val="0"/>
          <w:numId w:val="10"/>
        </w:numPr>
        <w:spacing w:before="0" w:after="240"/>
        <w:rPr>
          <w:rFonts w:asciiTheme="minorHAnsi" w:hAnsiTheme="minorHAnsi"/>
          <w:color w:val="00000A"/>
        </w:rPr>
      </w:pPr>
      <w:bookmarkStart w:id="9" w:name="_Toc10633586"/>
      <w:r>
        <w:rPr>
          <w:rFonts w:asciiTheme="minorHAnsi" w:hAnsiTheme="minorHAnsi"/>
          <w:color w:val="00000A"/>
        </w:rPr>
        <w:t>Discussion</w:t>
      </w:r>
      <w:bookmarkEnd w:id="9"/>
    </w:p>
    <w:p w14:paraId="7B51FFCE" w14:textId="46CD2817" w:rsidR="005F5C12" w:rsidRDefault="005F5C12" w:rsidP="00970A4E">
      <w:pPr>
        <w:jc w:val="both"/>
      </w:pPr>
      <w:r>
        <w:t xml:space="preserve">This paper discusses </w:t>
      </w:r>
      <w:r w:rsidR="00C402EA">
        <w:t xml:space="preserve">research developed to create the response profiles </w:t>
      </w:r>
      <w:r>
        <w:t xml:space="preserve">and associated daily estimates </w:t>
      </w:r>
      <w:r w:rsidR="00C402EA">
        <w:t xml:space="preserve">for the Census in 2021. </w:t>
      </w:r>
      <w:r>
        <w:t>The comprehensive examination of the 2011 Census data and the 2017 Test data is necessary to develop statistical models that will enable the production of such estimates for the future Census.</w:t>
      </w:r>
    </w:p>
    <w:p w14:paraId="40EAABB4" w14:textId="6A7B898C" w:rsidR="007E72E5" w:rsidRDefault="00C402EA" w:rsidP="00970A4E">
      <w:pPr>
        <w:jc w:val="both"/>
      </w:pPr>
      <w:r>
        <w:t>The first approach considered the use of cluster analysis to identify patterns of self-response during the Census in 2011</w:t>
      </w:r>
      <w:r w:rsidRPr="00922586">
        <w:t xml:space="preserve">. </w:t>
      </w:r>
      <w:r w:rsidR="00922037">
        <w:t>This</w:t>
      </w:r>
      <w:r>
        <w:t xml:space="preserve"> analysis</w:t>
      </w:r>
      <w:r w:rsidR="00922037">
        <w:t xml:space="preserve">, which </w:t>
      </w:r>
      <w:r>
        <w:t>con</w:t>
      </w:r>
      <w:r w:rsidR="00922037">
        <w:t>siders</w:t>
      </w:r>
      <w:r>
        <w:t xml:space="preserve"> </w:t>
      </w:r>
      <w:r w:rsidR="003417CE">
        <w:t xml:space="preserve">the variables </w:t>
      </w:r>
      <w:r w:rsidR="00C03A77">
        <w:t>H</w:t>
      </w:r>
      <w:r w:rsidR="002842CA">
        <w:t>t</w:t>
      </w:r>
      <w:r w:rsidR="00C03A77">
        <w:t>C</w:t>
      </w:r>
      <w:r>
        <w:t xml:space="preserve"> and response in the week before, during and after the Census</w:t>
      </w:r>
      <w:r w:rsidR="003417CE">
        <w:t>,</w:t>
      </w:r>
      <w:r>
        <w:t xml:space="preserve"> </w:t>
      </w:r>
      <w:r w:rsidR="00922037">
        <w:t xml:space="preserve">has </w:t>
      </w:r>
      <w:r>
        <w:t xml:space="preserve">revealed 5 </w:t>
      </w:r>
      <w:r w:rsidR="003417CE">
        <w:t xml:space="preserve">different </w:t>
      </w:r>
      <w:r>
        <w:t>clusters</w:t>
      </w:r>
      <w:r w:rsidR="003417CE">
        <w:t xml:space="preserve"> with distinct response patterns. </w:t>
      </w:r>
      <w:r w:rsidR="004F6810">
        <w:t>It has also confirm</w:t>
      </w:r>
      <w:r w:rsidR="005F5C12">
        <w:t>ed</w:t>
      </w:r>
      <w:r w:rsidR="004F6810">
        <w:t xml:space="preserve"> </w:t>
      </w:r>
      <w:r w:rsidR="003417CE">
        <w:t xml:space="preserve">that </w:t>
      </w:r>
      <w:r w:rsidR="00944147">
        <w:t xml:space="preserve">the </w:t>
      </w:r>
      <w:r w:rsidR="003417CE">
        <w:t xml:space="preserve">cluster aggregation (i.e. profile groups) </w:t>
      </w:r>
      <w:r w:rsidR="005F5C12">
        <w:t xml:space="preserve">consistently </w:t>
      </w:r>
      <w:r w:rsidR="003417CE">
        <w:t xml:space="preserve">differs from the </w:t>
      </w:r>
      <w:r w:rsidR="00C03A77">
        <w:t>H</w:t>
      </w:r>
      <w:r w:rsidR="002842CA">
        <w:t>t</w:t>
      </w:r>
      <w:r w:rsidR="00C03A77">
        <w:t>C</w:t>
      </w:r>
      <w:r w:rsidR="003417CE">
        <w:t xml:space="preserve"> categorization</w:t>
      </w:r>
      <w:r w:rsidR="005F5C12">
        <w:t xml:space="preserve">. </w:t>
      </w:r>
      <w:r w:rsidR="00944147">
        <w:t xml:space="preserve">More precisely, </w:t>
      </w:r>
      <w:r w:rsidR="003417CE">
        <w:t xml:space="preserve">the same cluster </w:t>
      </w:r>
      <w:r w:rsidR="005F5C12">
        <w:t xml:space="preserve">(response behavior) </w:t>
      </w:r>
      <w:r w:rsidR="003417CE">
        <w:t xml:space="preserve">might have LSOAs from different </w:t>
      </w:r>
      <w:r w:rsidR="00C03A77">
        <w:t>H</w:t>
      </w:r>
      <w:r w:rsidR="002842CA">
        <w:t>t</w:t>
      </w:r>
      <w:r w:rsidR="00C03A77">
        <w:t>C</w:t>
      </w:r>
      <w:r w:rsidR="00503E0C">
        <w:t xml:space="preserve"> classifications</w:t>
      </w:r>
      <w:r w:rsidR="004F6810">
        <w:t xml:space="preserve">. </w:t>
      </w:r>
    </w:p>
    <w:p w14:paraId="5DCAD623" w14:textId="046E9E49" w:rsidR="00095F2D" w:rsidRDefault="007E72E5" w:rsidP="00970A4E">
      <w:pPr>
        <w:jc w:val="both"/>
      </w:pPr>
      <w:r>
        <w:t xml:space="preserve">In fact, </w:t>
      </w:r>
      <w:r w:rsidR="00922037">
        <w:t xml:space="preserve">the </w:t>
      </w:r>
      <w:r>
        <w:t xml:space="preserve">cluster analysis clearly demonstrates that the use of the </w:t>
      </w:r>
      <w:r w:rsidR="00C03A77">
        <w:t>H</w:t>
      </w:r>
      <w:r w:rsidR="002842CA">
        <w:t>t</w:t>
      </w:r>
      <w:r w:rsidR="00C03A77">
        <w:t>C</w:t>
      </w:r>
      <w:r>
        <w:t xml:space="preserve"> classification alone is inadequate to predict patterns of response, and therefore, it should be used in conjunction with other variables that are influential pred</w:t>
      </w:r>
      <w:r w:rsidR="00944147">
        <w:t xml:space="preserve">ictors of </w:t>
      </w:r>
      <w:r w:rsidR="00776410">
        <w:t>c</w:t>
      </w:r>
      <w:r w:rsidR="00944147">
        <w:t xml:space="preserve">ensus self-response. However, </w:t>
      </w:r>
      <w:r w:rsidR="00095F2D">
        <w:t xml:space="preserve">we will need to </w:t>
      </w:r>
      <w:r w:rsidR="00944147">
        <w:t>acknowledge</w:t>
      </w:r>
      <w:r w:rsidR="00095F2D">
        <w:t xml:space="preserve"> the fact that this analysis </w:t>
      </w:r>
      <w:r w:rsidR="004F6810">
        <w:t xml:space="preserve">does not provide </w:t>
      </w:r>
      <w:r w:rsidR="00095F2D">
        <w:t>any information</w:t>
      </w:r>
      <w:r w:rsidR="004F6810">
        <w:t xml:space="preserve"> about the </w:t>
      </w:r>
      <w:r>
        <w:t xml:space="preserve">predictor/outcome </w:t>
      </w:r>
      <w:r w:rsidR="00095F2D">
        <w:t>relationship</w:t>
      </w:r>
      <w:r>
        <w:t xml:space="preserve"> between variables</w:t>
      </w:r>
      <w:r w:rsidR="00095F2D">
        <w:t xml:space="preserve"> and the model failed to converge when more variables were included.</w:t>
      </w:r>
    </w:p>
    <w:p w14:paraId="0559402F" w14:textId="223438EF" w:rsidR="00095F2D" w:rsidRDefault="00944147" w:rsidP="00970A4E">
      <w:pPr>
        <w:jc w:val="both"/>
      </w:pPr>
      <w:r>
        <w:t>Subsequently,</w:t>
      </w:r>
      <w:r w:rsidR="00095F2D">
        <w:t xml:space="preserve"> </w:t>
      </w:r>
      <w:r>
        <w:t>with a view of testing further</w:t>
      </w:r>
      <w:r w:rsidR="00095F2D">
        <w:t xml:space="preserve"> predictor variables of self-response</w:t>
      </w:r>
      <w:r>
        <w:t>,</w:t>
      </w:r>
      <w:r w:rsidR="00095F2D">
        <w:t xml:space="preserve"> a </w:t>
      </w:r>
      <w:r w:rsidR="004F6810">
        <w:t>m</w:t>
      </w:r>
      <w:r w:rsidR="004F6810" w:rsidRPr="0026419C">
        <w:t>ultiple regression</w:t>
      </w:r>
      <w:r w:rsidR="004F6810">
        <w:t xml:space="preserve"> (GLM)</w:t>
      </w:r>
      <w:r w:rsidR="00095F2D">
        <w:t xml:space="preserve"> </w:t>
      </w:r>
      <w:r w:rsidR="004F6810">
        <w:t xml:space="preserve">was used </w:t>
      </w:r>
      <w:r w:rsidR="00095F2D">
        <w:t xml:space="preserve">as the next exploratory analysis. Using </w:t>
      </w:r>
      <w:r w:rsidR="001363EB">
        <w:t>a range of</w:t>
      </w:r>
      <w:r w:rsidR="00095F2D">
        <w:t xml:space="preserve"> variable</w:t>
      </w:r>
      <w:r w:rsidR="00102AD6">
        <w:t>s</w:t>
      </w:r>
      <w:r w:rsidR="001363EB">
        <w:t xml:space="preserve"> extracted</w:t>
      </w:r>
      <w:r w:rsidR="00095F2D">
        <w:t xml:space="preserve"> from the Census </w:t>
      </w:r>
      <w:r w:rsidR="001363EB">
        <w:t xml:space="preserve">2011, </w:t>
      </w:r>
      <w:r w:rsidR="00274858">
        <w:t>we aimed to</w:t>
      </w:r>
      <w:r w:rsidR="00095F2D">
        <w:t xml:space="preserve"> identify the most influential variables in the prediction of the self-response (response without any intervention from field force or reminder letters) by the end of the self-response period (Day 10 after census day).</w:t>
      </w:r>
    </w:p>
    <w:p w14:paraId="65A6721B" w14:textId="03932911" w:rsidR="00EF65BB" w:rsidRDefault="00CF158E" w:rsidP="00970A4E">
      <w:pPr>
        <w:jc w:val="both"/>
      </w:pPr>
      <w:r>
        <w:lastRenderedPageBreak/>
        <w:t>Two</w:t>
      </w:r>
      <w:r w:rsidR="001363EB">
        <w:t xml:space="preserve"> regression analys</w:t>
      </w:r>
      <w:r w:rsidR="00503E0C">
        <w:t>e</w:t>
      </w:r>
      <w:r w:rsidR="001363EB">
        <w:t>s (</w:t>
      </w:r>
      <w:r>
        <w:t>one</w:t>
      </w:r>
      <w:r w:rsidR="00274858">
        <w:t xml:space="preserve"> using the entire sample </w:t>
      </w:r>
      <w:r>
        <w:t>and</w:t>
      </w:r>
      <w:r w:rsidR="001363EB">
        <w:t xml:space="preserve"> the second a 10% random sample)</w:t>
      </w:r>
      <w:r>
        <w:t xml:space="preserve"> </w:t>
      </w:r>
      <w:r w:rsidR="001363EB">
        <w:t>identified</w:t>
      </w:r>
      <w:r w:rsidR="00274858">
        <w:t xml:space="preserve"> all predictor variab</w:t>
      </w:r>
      <w:r w:rsidR="001363EB">
        <w:t xml:space="preserve">les in the model as significant. Furthermore, the analysis </w:t>
      </w:r>
      <w:r w:rsidR="00274858">
        <w:t>accounted for 80% of the variation of self-response by day 10 after Census Day. Once more</w:t>
      </w:r>
      <w:r w:rsidR="001363EB">
        <w:t>,</w:t>
      </w:r>
      <w:r w:rsidR="00274858">
        <w:t xml:space="preserve"> </w:t>
      </w:r>
      <w:r w:rsidR="001363EB">
        <w:t>both analyse</w:t>
      </w:r>
      <w:r>
        <w:t>s</w:t>
      </w:r>
      <w:r w:rsidR="00274858">
        <w:t xml:space="preserve"> confirmed </w:t>
      </w:r>
      <w:r w:rsidR="00C03A77">
        <w:t>H</w:t>
      </w:r>
      <w:r w:rsidR="002842CA">
        <w:t>t</w:t>
      </w:r>
      <w:r w:rsidR="00C03A77">
        <w:t>C</w:t>
      </w:r>
      <w:r w:rsidR="00274858">
        <w:t xml:space="preserve"> as the most influential variable</w:t>
      </w:r>
      <w:r>
        <w:t>, closely followed</w:t>
      </w:r>
      <w:r w:rsidR="00274858">
        <w:t xml:space="preserve"> by predominant age of the HRP. Other variables such as gender, qualifications and </w:t>
      </w:r>
      <w:r w:rsidR="00503E0C">
        <w:t>h</w:t>
      </w:r>
      <w:r w:rsidR="00274858">
        <w:t>ousehold size were also significant in the model</w:t>
      </w:r>
      <w:r>
        <w:t xml:space="preserve"> but had very </w:t>
      </w:r>
      <w:r w:rsidR="001363EB">
        <w:t>limited</w:t>
      </w:r>
      <w:r>
        <w:t xml:space="preserve"> effect sizes. </w:t>
      </w:r>
    </w:p>
    <w:p w14:paraId="0FC34622" w14:textId="2CF89AB8" w:rsidR="00AE34C0" w:rsidRDefault="001363EB" w:rsidP="00970A4E">
      <w:pPr>
        <w:jc w:val="both"/>
      </w:pPr>
      <w:r>
        <w:t>These</w:t>
      </w:r>
      <w:r w:rsidR="00CF158E">
        <w:t>s</w:t>
      </w:r>
      <w:r>
        <w:t xml:space="preserve"> analyse</w:t>
      </w:r>
      <w:r w:rsidR="00CF158E">
        <w:t>s w</w:t>
      </w:r>
      <w:r w:rsidR="00EF65BB">
        <w:t>ere</w:t>
      </w:r>
      <w:r w:rsidR="00CF158E">
        <w:t xml:space="preserve"> </w:t>
      </w:r>
      <w:r w:rsidR="00EF65BB">
        <w:t>followed</w:t>
      </w:r>
      <w:r w:rsidR="00CF158E">
        <w:t xml:space="preserve"> </w:t>
      </w:r>
      <w:r w:rsidR="00EF65BB">
        <w:t>by</w:t>
      </w:r>
      <w:r w:rsidR="00CF158E">
        <w:t xml:space="preserve"> </w:t>
      </w:r>
      <w:r w:rsidR="00CF158E" w:rsidRPr="00CF158E">
        <w:rPr>
          <w:i/>
        </w:rPr>
        <w:t>post hoc tests</w:t>
      </w:r>
      <w:r w:rsidR="00CF158E">
        <w:rPr>
          <w:i/>
        </w:rPr>
        <w:t xml:space="preserve"> </w:t>
      </w:r>
      <w:r w:rsidR="00CF158E">
        <w:t xml:space="preserve">to </w:t>
      </w:r>
      <w:r>
        <w:t>clarify t</w:t>
      </w:r>
      <w:r w:rsidR="00CF158E">
        <w:t>he relationship between the</w:t>
      </w:r>
      <w:r>
        <w:t xml:space="preserve"> predictor and outcome variable</w:t>
      </w:r>
      <w:r w:rsidR="00CF158E">
        <w:t xml:space="preserve">. </w:t>
      </w:r>
      <w:r>
        <w:t>P</w:t>
      </w:r>
      <w:r w:rsidR="00CF158E">
        <w:t xml:space="preserve">airwise comparisons for the variable age group </w:t>
      </w:r>
      <w:r w:rsidR="00EF65BB">
        <w:t>revealed</w:t>
      </w:r>
      <w:r w:rsidR="00CF158E">
        <w:t xml:space="preserve"> that age group 25 to 44 was associated with the lowest self-response whilst age group 75 and over presented the highest value for response in day 10 after Census</w:t>
      </w:r>
      <w:r w:rsidR="00997E04">
        <w:t xml:space="preserve"> day</w:t>
      </w:r>
      <w:r w:rsidR="00CF158E">
        <w:t>.</w:t>
      </w:r>
      <w:r w:rsidR="00EF65BB">
        <w:t xml:space="preserve"> </w:t>
      </w:r>
    </w:p>
    <w:p w14:paraId="09E664B7" w14:textId="0394280A" w:rsidR="00CF158E" w:rsidRDefault="00AE34C0" w:rsidP="00970A4E">
      <w:pPr>
        <w:jc w:val="both"/>
      </w:pPr>
      <w:r>
        <w:t>Importantly, w</w:t>
      </w:r>
      <w:r w:rsidR="00EF65BB">
        <w:t xml:space="preserve">hile </w:t>
      </w:r>
      <w:r>
        <w:t>the regression approach</w:t>
      </w:r>
      <w:r w:rsidR="00EF65BB">
        <w:t xml:space="preserve"> </w:t>
      </w:r>
      <w:r>
        <w:t>provides extensive information</w:t>
      </w:r>
      <w:r w:rsidR="00EF65BB">
        <w:t xml:space="preserve"> about the impact of the variables on response</w:t>
      </w:r>
      <w:r>
        <w:t xml:space="preserve">, this method can </w:t>
      </w:r>
      <w:r w:rsidR="00EF65BB">
        <w:t xml:space="preserve">only </w:t>
      </w:r>
      <w:r>
        <w:t>explore</w:t>
      </w:r>
      <w:r w:rsidR="00EF65BB">
        <w:t xml:space="preserve"> </w:t>
      </w:r>
      <w:r>
        <w:t xml:space="preserve">a single outcome variable. Furthermore, </w:t>
      </w:r>
      <w:r w:rsidR="00EF65BB">
        <w:t xml:space="preserve">the </w:t>
      </w:r>
      <w:r>
        <w:t>data</w:t>
      </w:r>
      <w:r w:rsidR="00EF65BB">
        <w:t xml:space="preserve"> needs to have a linear distribution for each level of the independent variables.</w:t>
      </w:r>
      <w:r>
        <w:t xml:space="preserve"> These two factors constitute a limitation of this technique.</w:t>
      </w:r>
    </w:p>
    <w:p w14:paraId="286ED8AB" w14:textId="053EA369" w:rsidR="00EF65BB" w:rsidRDefault="00EF65BB" w:rsidP="00970A4E">
      <w:pPr>
        <w:jc w:val="both"/>
      </w:pPr>
      <w:r>
        <w:t>The</w:t>
      </w:r>
      <w:r w:rsidR="00AE34C0">
        <w:t>refore, a</w:t>
      </w:r>
      <w:r>
        <w:t xml:space="preserve"> </w:t>
      </w:r>
      <w:r w:rsidR="00AE34C0">
        <w:t>further</w:t>
      </w:r>
      <w:r>
        <w:t xml:space="preserve"> exploratory analysis </w:t>
      </w:r>
      <w:r w:rsidR="00AE34C0">
        <w:t xml:space="preserve">was deemed relevant: </w:t>
      </w:r>
      <w:r>
        <w:t xml:space="preserve">a Generalized mixed model </w:t>
      </w:r>
      <w:r w:rsidR="00AE34C0">
        <w:t xml:space="preserve">approach </w:t>
      </w:r>
      <w:r w:rsidRPr="00E24F8C">
        <w:t xml:space="preserve">using the predictor variables </w:t>
      </w:r>
      <w:r w:rsidR="00C03A77">
        <w:t>HtC</w:t>
      </w:r>
      <w:r>
        <w:t xml:space="preserve"> </w:t>
      </w:r>
      <w:r w:rsidR="00AE34C0">
        <w:t>with</w:t>
      </w:r>
      <w:r>
        <w:t xml:space="preserve"> </w:t>
      </w:r>
      <w:r w:rsidRPr="00E24F8C">
        <w:t>predominant</w:t>
      </w:r>
      <w:r>
        <w:t xml:space="preserve"> age group for HRP, and the time </w:t>
      </w:r>
      <w:r w:rsidR="00AE34C0">
        <w:t xml:space="preserve">variable as a random effect. This </w:t>
      </w:r>
      <w:r>
        <w:t>model confirmed that both between subject variables (</w:t>
      </w:r>
      <w:r w:rsidR="00C03A77">
        <w:t>HtC</w:t>
      </w:r>
      <w:r>
        <w:t xml:space="preserve"> and Age group) were significant predictors of the period of response and that both are influential for the distribution of the response rate by LSOA across the five different time periods. </w:t>
      </w:r>
    </w:p>
    <w:p w14:paraId="52D8E1BC" w14:textId="51B41E9A" w:rsidR="00AE34C0" w:rsidRDefault="00922037" w:rsidP="00970A4E">
      <w:pPr>
        <w:jc w:val="both"/>
      </w:pPr>
      <w:r>
        <w:t xml:space="preserve">The final model was designed to consider a maximum of 25 different response profiles </w:t>
      </w:r>
      <w:r w:rsidR="00AE34C0">
        <w:t xml:space="preserve">(5 </w:t>
      </w:r>
      <w:r w:rsidR="00C03A77">
        <w:t>H</w:t>
      </w:r>
      <w:r w:rsidR="002842CA">
        <w:t>t</w:t>
      </w:r>
      <w:r w:rsidR="00C03A77">
        <w:t>C</w:t>
      </w:r>
      <w:r w:rsidR="00AE34C0">
        <w:t xml:space="preserve"> levels * 5 age groups</w:t>
      </w:r>
      <w:r>
        <w:t>) and provide estimates for 5 different time pe</w:t>
      </w:r>
      <w:r w:rsidR="00AE34C0">
        <w:t>riods during the Census in 2021</w:t>
      </w:r>
      <w:r>
        <w:t xml:space="preserve"> (3 weeks before, Census week, and the week after). However, due to the reduced number of observations in some profiles it was only possible to generate significant estimates for 1</w:t>
      </w:r>
      <w:r w:rsidR="000E1609">
        <w:t>7</w:t>
      </w:r>
      <w:r>
        <w:t xml:space="preserve"> of the potential 25 profile groups. </w:t>
      </w:r>
    </w:p>
    <w:p w14:paraId="20046786" w14:textId="5A402878" w:rsidR="00922037" w:rsidRDefault="00AE34C0" w:rsidP="00970A4E">
      <w:pPr>
        <w:jc w:val="both"/>
      </w:pPr>
      <w:r>
        <w:t>Nevertheless</w:t>
      </w:r>
      <w:r w:rsidR="00922037">
        <w:t xml:space="preserve">, we anticipate that a similar model </w:t>
      </w:r>
      <w:r>
        <w:t xml:space="preserve">(including as a minimum </w:t>
      </w:r>
      <w:r w:rsidR="00C03A77">
        <w:t>HtC</w:t>
      </w:r>
      <w:r>
        <w:t xml:space="preserve"> and Age group) </w:t>
      </w:r>
      <w:r w:rsidR="00922037">
        <w:t>might</w:t>
      </w:r>
      <w:r>
        <w:t xml:space="preserve"> indeed</w:t>
      </w:r>
      <w:r w:rsidR="00922037">
        <w:t xml:space="preserve"> be </w:t>
      </w:r>
      <w:r>
        <w:t xml:space="preserve">the best approach </w:t>
      </w:r>
      <w:r w:rsidR="00922037">
        <w:t xml:space="preserve">to generate the daily estimates that we will </w:t>
      </w:r>
      <w:r>
        <w:t xml:space="preserve">require for </w:t>
      </w:r>
      <w:r w:rsidR="00922037">
        <w:t>the 2021 Census.</w:t>
      </w:r>
    </w:p>
    <w:p w14:paraId="736EFDCD" w14:textId="375D693F" w:rsidR="004F6810" w:rsidRDefault="0016032A" w:rsidP="0016032A">
      <w:pPr>
        <w:jc w:val="center"/>
      </w:pPr>
      <w:r>
        <w:rPr>
          <w:noProof/>
        </w:rPr>
        <w:drawing>
          <wp:inline distT="0" distB="0" distL="0" distR="0" wp14:anchorId="53EC6955" wp14:editId="18603B95">
            <wp:extent cx="4392385" cy="2208394"/>
            <wp:effectExtent l="0" t="0" r="8255" b="190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4410683" cy="2217594"/>
                    </a:xfrm>
                    <a:prstGeom prst="rect">
                      <a:avLst/>
                    </a:prstGeom>
                  </pic:spPr>
                </pic:pic>
              </a:graphicData>
            </a:graphic>
          </wp:inline>
        </w:drawing>
      </w:r>
    </w:p>
    <w:p w14:paraId="0557B444" w14:textId="77777777" w:rsidR="000C2E42" w:rsidRDefault="000C2E42" w:rsidP="000C2E42">
      <w:r>
        <w:t>Table 9. Estimates for the initial 10 days of self-response during the 2021 Census by Response Profile cluster derived from a time series model.</w:t>
      </w:r>
    </w:p>
    <w:p w14:paraId="1021EC83" w14:textId="77777777" w:rsidR="00642C31" w:rsidRDefault="00E17C6D" w:rsidP="004F41D7">
      <w:pPr>
        <w:pStyle w:val="Heading1"/>
        <w:numPr>
          <w:ilvl w:val="0"/>
          <w:numId w:val="10"/>
        </w:numPr>
        <w:rPr>
          <w:rFonts w:asciiTheme="minorHAnsi" w:hAnsiTheme="minorHAnsi"/>
          <w:color w:val="00000A"/>
          <w:lang w:val="en-GB"/>
        </w:rPr>
      </w:pPr>
      <w:bookmarkStart w:id="10" w:name="_Toc493600970"/>
      <w:bookmarkStart w:id="11" w:name="_Toc10633587"/>
      <w:r>
        <w:rPr>
          <w:rFonts w:asciiTheme="minorHAnsi" w:hAnsiTheme="minorHAnsi"/>
          <w:color w:val="00000A"/>
          <w:lang w:val="en-GB"/>
        </w:rPr>
        <w:lastRenderedPageBreak/>
        <w:t>Appendix</w:t>
      </w:r>
      <w:bookmarkEnd w:id="10"/>
      <w:bookmarkEnd w:id="11"/>
      <w:r>
        <w:rPr>
          <w:rFonts w:asciiTheme="minorHAnsi" w:hAnsiTheme="minorHAnsi"/>
          <w:color w:val="00000A"/>
          <w:lang w:val="en-GB"/>
        </w:rPr>
        <w:t xml:space="preserve"> </w:t>
      </w:r>
    </w:p>
    <w:p w14:paraId="007B1EB5" w14:textId="77777777" w:rsidR="00E55BC3" w:rsidRDefault="00E55BC3" w:rsidP="00E55BC3">
      <w:pPr>
        <w:rPr>
          <w:lang w:val="en-GB"/>
        </w:rPr>
      </w:pPr>
    </w:p>
    <w:p w14:paraId="0E55B350" w14:textId="3C8C7B58" w:rsidR="00E55BC3" w:rsidRDefault="00E55BC3" w:rsidP="00E55BC3">
      <w:pPr>
        <w:rPr>
          <w:lang w:val="en-GB"/>
        </w:rPr>
      </w:pPr>
      <w:r>
        <w:rPr>
          <w:lang w:val="en-GB"/>
        </w:rPr>
        <w:t>Appendix 1. Model summary from the two-step cluster analysis performed on SPSS version 23.</w:t>
      </w:r>
    </w:p>
    <w:p w14:paraId="08CCC854" w14:textId="77777777" w:rsidR="00E55BC3" w:rsidRDefault="00E55BC3" w:rsidP="00E55BC3">
      <w:pPr>
        <w:rPr>
          <w:lang w:val="en-GB"/>
        </w:rPr>
      </w:pPr>
      <w:r>
        <w:rPr>
          <w:noProof/>
        </w:rPr>
        <w:drawing>
          <wp:inline distT="0" distB="0" distL="0" distR="0" wp14:anchorId="118B5A66" wp14:editId="2A17A64A">
            <wp:extent cx="3157538" cy="2541118"/>
            <wp:effectExtent l="0" t="0" r="508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162084" cy="2544777"/>
                    </a:xfrm>
                    <a:prstGeom prst="rect">
                      <a:avLst/>
                    </a:prstGeom>
                    <a:noFill/>
                  </pic:spPr>
                </pic:pic>
              </a:graphicData>
            </a:graphic>
          </wp:inline>
        </w:drawing>
      </w:r>
    </w:p>
    <w:p w14:paraId="332DE957" w14:textId="77777777" w:rsidR="00E31004" w:rsidRDefault="00E31004" w:rsidP="00E55BC3">
      <w:pPr>
        <w:rPr>
          <w:lang w:val="en-GB"/>
        </w:rPr>
      </w:pPr>
    </w:p>
    <w:p w14:paraId="035D6DE3" w14:textId="77777777" w:rsidR="00E31004" w:rsidRPr="00E31004" w:rsidRDefault="00E31004" w:rsidP="00E31004">
      <w:pPr>
        <w:rPr>
          <w:lang w:val="en-GB"/>
        </w:rPr>
      </w:pPr>
    </w:p>
    <w:p w14:paraId="74AB211A" w14:textId="1477D6D0" w:rsidR="00E31004" w:rsidRDefault="00E31004" w:rsidP="00E31004">
      <w:pPr>
        <w:tabs>
          <w:tab w:val="left" w:pos="1088"/>
        </w:tabs>
        <w:rPr>
          <w:lang w:val="en-GB"/>
        </w:rPr>
      </w:pPr>
    </w:p>
    <w:p w14:paraId="6421DC5A" w14:textId="47D1BEE5" w:rsidR="0088508D" w:rsidRDefault="00E31004" w:rsidP="0056557B">
      <w:pPr>
        <w:tabs>
          <w:tab w:val="left" w:pos="1088"/>
        </w:tabs>
        <w:rPr>
          <w:lang w:val="en-GB"/>
        </w:rPr>
      </w:pPr>
      <w:r w:rsidRPr="00E31004">
        <w:rPr>
          <w:sz w:val="18"/>
          <w:szCs w:val="18"/>
        </w:rPr>
        <w:lastRenderedPageBreak/>
        <w:t xml:space="preserve">Appendix </w:t>
      </w:r>
      <w:r>
        <w:rPr>
          <w:sz w:val="18"/>
          <w:szCs w:val="18"/>
        </w:rPr>
        <w:t>2</w:t>
      </w:r>
      <w:r w:rsidRPr="00E31004">
        <w:rPr>
          <w:sz w:val="18"/>
          <w:szCs w:val="18"/>
        </w:rPr>
        <w:t>.</w:t>
      </w:r>
      <w:r w:rsidR="00E367CD">
        <w:rPr>
          <w:sz w:val="18"/>
          <w:szCs w:val="18"/>
        </w:rPr>
        <w:t xml:space="preserve"> </w:t>
      </w:r>
      <w:r w:rsidR="00776410">
        <w:rPr>
          <w:sz w:val="18"/>
          <w:szCs w:val="18"/>
        </w:rPr>
        <w:t>M</w:t>
      </w:r>
      <w:r w:rsidRPr="00E31004">
        <w:rPr>
          <w:sz w:val="18"/>
          <w:szCs w:val="18"/>
        </w:rPr>
        <w:t>ain and interaction effects from the regression model with</w:t>
      </w:r>
      <w:r w:rsidR="00F263FF">
        <w:rPr>
          <w:sz w:val="18"/>
          <w:szCs w:val="18"/>
        </w:rPr>
        <w:t xml:space="preserve"> a </w:t>
      </w:r>
      <w:r w:rsidRPr="00E31004">
        <w:rPr>
          <w:sz w:val="18"/>
          <w:szCs w:val="18"/>
        </w:rPr>
        <w:t>sample of 34</w:t>
      </w:r>
      <w:r w:rsidR="00776410">
        <w:rPr>
          <w:sz w:val="18"/>
          <w:szCs w:val="18"/>
        </w:rPr>
        <w:t>,</w:t>
      </w:r>
      <w:r w:rsidR="0056557B">
        <w:rPr>
          <w:sz w:val="18"/>
          <w:szCs w:val="18"/>
        </w:rPr>
        <w:t>753</w:t>
      </w:r>
      <w:r w:rsidRPr="00E31004">
        <w:rPr>
          <w:sz w:val="18"/>
          <w:szCs w:val="18"/>
        </w:rPr>
        <w:t xml:space="preserve"> LSOAs.</w:t>
      </w:r>
      <w:r w:rsidR="00E55BC3">
        <w:rPr>
          <w:noProof/>
          <w:lang w:eastAsia="en-GB"/>
        </w:rPr>
        <w:drawing>
          <wp:inline distT="0" distB="0" distL="0" distR="0" wp14:anchorId="6853374D" wp14:editId="5B7D7DAE">
            <wp:extent cx="4534444" cy="802430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540372" cy="8034795"/>
                    </a:xfrm>
                    <a:prstGeom prst="rect">
                      <a:avLst/>
                    </a:prstGeom>
                    <a:noFill/>
                  </pic:spPr>
                </pic:pic>
              </a:graphicData>
            </a:graphic>
          </wp:inline>
        </w:drawing>
      </w:r>
    </w:p>
    <w:p w14:paraId="020F56EB" w14:textId="491D3AA3" w:rsidR="00642C31" w:rsidRDefault="00E31004">
      <w:pPr>
        <w:rPr>
          <w:sz w:val="18"/>
          <w:szCs w:val="18"/>
        </w:rPr>
      </w:pPr>
      <w:r w:rsidRPr="00E31004">
        <w:rPr>
          <w:sz w:val="18"/>
          <w:szCs w:val="18"/>
        </w:rPr>
        <w:lastRenderedPageBreak/>
        <w:t xml:space="preserve">Appendix 3. </w:t>
      </w:r>
      <w:r w:rsidR="00F263FF">
        <w:rPr>
          <w:sz w:val="18"/>
          <w:szCs w:val="18"/>
        </w:rPr>
        <w:t>M</w:t>
      </w:r>
      <w:r w:rsidRPr="00E31004">
        <w:rPr>
          <w:sz w:val="18"/>
          <w:szCs w:val="18"/>
        </w:rPr>
        <w:t xml:space="preserve">ain and interaction effects from the regression model with </w:t>
      </w:r>
      <w:r>
        <w:rPr>
          <w:sz w:val="18"/>
          <w:szCs w:val="18"/>
        </w:rPr>
        <w:t>a</w:t>
      </w:r>
      <w:r w:rsidRPr="00E31004">
        <w:rPr>
          <w:sz w:val="18"/>
          <w:szCs w:val="18"/>
        </w:rPr>
        <w:t xml:space="preserve"> random sample of 3</w:t>
      </w:r>
      <w:r w:rsidR="00F263FF">
        <w:rPr>
          <w:sz w:val="18"/>
          <w:szCs w:val="18"/>
        </w:rPr>
        <w:t>,</w:t>
      </w:r>
      <w:r w:rsidRPr="00E31004">
        <w:rPr>
          <w:sz w:val="18"/>
          <w:szCs w:val="18"/>
        </w:rPr>
        <w:t>488 LSOAs.</w:t>
      </w:r>
      <w:r w:rsidRPr="00E31004">
        <w:rPr>
          <w:noProof/>
          <w:sz w:val="18"/>
          <w:szCs w:val="18"/>
          <w:lang w:eastAsia="en-GB"/>
        </w:rPr>
        <w:drawing>
          <wp:inline distT="0" distB="0" distL="0" distR="0" wp14:anchorId="784B6DF3" wp14:editId="00C5F925">
            <wp:extent cx="5231284" cy="7929032"/>
            <wp:effectExtent l="0" t="0" r="762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237064" cy="7937793"/>
                    </a:xfrm>
                    <a:prstGeom prst="rect">
                      <a:avLst/>
                    </a:prstGeom>
                    <a:noFill/>
                  </pic:spPr>
                </pic:pic>
              </a:graphicData>
            </a:graphic>
          </wp:inline>
        </w:drawing>
      </w:r>
    </w:p>
    <w:p w14:paraId="41D6280F" w14:textId="5A76BB12" w:rsidR="00A90AD6" w:rsidRDefault="00A90AD6">
      <w:pPr>
        <w:rPr>
          <w:sz w:val="18"/>
          <w:szCs w:val="18"/>
        </w:rPr>
      </w:pPr>
      <w:r>
        <w:rPr>
          <w:sz w:val="18"/>
          <w:szCs w:val="18"/>
        </w:rPr>
        <w:lastRenderedPageBreak/>
        <w:t>Appendix 4</w:t>
      </w:r>
      <w:r w:rsidRPr="00E31004">
        <w:rPr>
          <w:sz w:val="18"/>
          <w:szCs w:val="18"/>
        </w:rPr>
        <w:t xml:space="preserve">. </w:t>
      </w:r>
      <w:r w:rsidR="00F263FF">
        <w:rPr>
          <w:sz w:val="18"/>
          <w:szCs w:val="18"/>
        </w:rPr>
        <w:t>E</w:t>
      </w:r>
      <w:r>
        <w:rPr>
          <w:sz w:val="18"/>
          <w:szCs w:val="18"/>
        </w:rPr>
        <w:t xml:space="preserve">stimates from interaction between </w:t>
      </w:r>
      <w:r w:rsidR="00C03A77">
        <w:rPr>
          <w:sz w:val="18"/>
          <w:szCs w:val="18"/>
        </w:rPr>
        <w:t>H</w:t>
      </w:r>
      <w:r w:rsidR="002842CA">
        <w:rPr>
          <w:sz w:val="18"/>
          <w:szCs w:val="18"/>
        </w:rPr>
        <w:t>t</w:t>
      </w:r>
      <w:r w:rsidR="00C03A77">
        <w:rPr>
          <w:sz w:val="18"/>
          <w:szCs w:val="18"/>
        </w:rPr>
        <w:t>C</w:t>
      </w:r>
      <w:r>
        <w:rPr>
          <w:sz w:val="18"/>
          <w:szCs w:val="18"/>
        </w:rPr>
        <w:t xml:space="preserve"> and Age for five time periods.</w:t>
      </w:r>
    </w:p>
    <w:p w14:paraId="46B066B9" w14:textId="16AFDAFE" w:rsidR="00A90AD6" w:rsidRDefault="00A90AD6">
      <w:pPr>
        <w:rPr>
          <w:b/>
          <w:sz w:val="18"/>
          <w:szCs w:val="18"/>
        </w:rPr>
      </w:pPr>
      <w:r w:rsidRPr="00970660">
        <w:rPr>
          <w:noProof/>
        </w:rPr>
        <w:drawing>
          <wp:inline distT="0" distB="0" distL="0" distR="0" wp14:anchorId="4A6B7421" wp14:editId="17067BC9">
            <wp:extent cx="3242155" cy="7747999"/>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278427" cy="7834682"/>
                    </a:xfrm>
                    <a:prstGeom prst="rect">
                      <a:avLst/>
                    </a:prstGeom>
                    <a:noFill/>
                    <a:ln>
                      <a:noFill/>
                    </a:ln>
                  </pic:spPr>
                </pic:pic>
              </a:graphicData>
            </a:graphic>
          </wp:inline>
        </w:drawing>
      </w:r>
    </w:p>
    <w:p w14:paraId="21863044" w14:textId="77777777" w:rsidR="00642C31" w:rsidRDefault="00E17C6D" w:rsidP="004F41D7">
      <w:pPr>
        <w:pStyle w:val="Heading1"/>
        <w:numPr>
          <w:ilvl w:val="0"/>
          <w:numId w:val="10"/>
        </w:numPr>
        <w:spacing w:before="0" w:after="240"/>
        <w:rPr>
          <w:rFonts w:asciiTheme="minorHAnsi" w:hAnsiTheme="minorHAnsi"/>
          <w:color w:val="00000A"/>
        </w:rPr>
      </w:pPr>
      <w:r>
        <w:rPr>
          <w:rFonts w:asciiTheme="minorHAnsi" w:hAnsiTheme="minorHAnsi"/>
          <w:color w:val="00000A"/>
        </w:rPr>
        <w:lastRenderedPageBreak/>
        <w:t xml:space="preserve"> </w:t>
      </w:r>
      <w:bookmarkStart w:id="12" w:name="_Toc10633588"/>
      <w:r>
        <w:rPr>
          <w:rFonts w:asciiTheme="minorHAnsi" w:hAnsiTheme="minorHAnsi"/>
          <w:color w:val="00000A"/>
        </w:rPr>
        <w:t>References</w:t>
      </w:r>
      <w:bookmarkEnd w:id="12"/>
      <w:r>
        <w:rPr>
          <w:rFonts w:asciiTheme="minorHAnsi" w:hAnsiTheme="minorHAnsi"/>
          <w:color w:val="00000A"/>
        </w:rPr>
        <w:t xml:space="preserve"> </w:t>
      </w:r>
    </w:p>
    <w:p w14:paraId="33F671B4" w14:textId="77777777" w:rsidR="00C6169D" w:rsidRPr="00C6169D" w:rsidRDefault="00C6169D" w:rsidP="00C6169D">
      <w:r>
        <w:rPr>
          <w:rFonts w:ascii="Arial" w:hAnsi="Arial" w:cs="Arial"/>
          <w:color w:val="222222"/>
          <w:sz w:val="20"/>
          <w:szCs w:val="20"/>
          <w:shd w:val="clear" w:color="auto" w:fill="FFFFFF"/>
        </w:rPr>
        <w:t>Cai, K., &amp; Wilson, J. R. (2015). How to Use SAS® for GMM Logistic Regression Models for Longitudinal Data with Time-Dependent Covariates. In </w:t>
      </w:r>
      <w:r>
        <w:rPr>
          <w:rFonts w:ascii="Arial" w:hAnsi="Arial" w:cs="Arial"/>
          <w:i/>
          <w:iCs/>
          <w:color w:val="222222"/>
          <w:sz w:val="20"/>
          <w:szCs w:val="20"/>
          <w:shd w:val="clear" w:color="auto" w:fill="FFFFFF"/>
        </w:rPr>
        <w:t>Proceedings of the SAS Global Forum 2015 Conference</w:t>
      </w:r>
      <w:r>
        <w:rPr>
          <w:rFonts w:ascii="Arial" w:hAnsi="Arial" w:cs="Arial"/>
          <w:color w:val="222222"/>
          <w:sz w:val="20"/>
          <w:szCs w:val="20"/>
          <w:shd w:val="clear" w:color="auto" w:fill="FFFFFF"/>
        </w:rPr>
        <w:t>.</w:t>
      </w:r>
    </w:p>
    <w:p w14:paraId="1074DE6F" w14:textId="22CCD248" w:rsidR="008D68A4" w:rsidRDefault="008D68A4" w:rsidP="00EC396D">
      <w:pPr>
        <w:rPr>
          <w:rFonts w:ascii="Arial" w:hAnsi="Arial" w:cs="Arial"/>
          <w:color w:val="222222"/>
          <w:sz w:val="20"/>
          <w:szCs w:val="20"/>
          <w:shd w:val="clear" w:color="auto" w:fill="FFFFFF"/>
        </w:rPr>
      </w:pPr>
      <w:r>
        <w:rPr>
          <w:rFonts w:ascii="Arial" w:hAnsi="Arial" w:cs="Arial"/>
          <w:color w:val="222222"/>
          <w:sz w:val="20"/>
          <w:szCs w:val="20"/>
          <w:shd w:val="clear" w:color="auto" w:fill="FFFFFF"/>
        </w:rPr>
        <w:t>Dietrich, T., Schuster, L., &amp; Connor, J. (2014). Segmenting Australian high school students: Two-step cluster analysis preliminary. </w:t>
      </w:r>
      <w:r>
        <w:rPr>
          <w:rFonts w:ascii="Arial" w:hAnsi="Arial" w:cs="Arial"/>
          <w:i/>
          <w:iCs/>
          <w:color w:val="222222"/>
          <w:sz w:val="20"/>
          <w:szCs w:val="20"/>
          <w:shd w:val="clear" w:color="auto" w:fill="FFFFFF"/>
        </w:rPr>
        <w:t>European Journal of Public Health</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24</w:t>
      </w:r>
      <w:r>
        <w:rPr>
          <w:rFonts w:ascii="Arial" w:hAnsi="Arial" w:cs="Arial"/>
          <w:color w:val="222222"/>
          <w:sz w:val="20"/>
          <w:szCs w:val="20"/>
          <w:shd w:val="clear" w:color="auto" w:fill="FFFFFF"/>
        </w:rPr>
        <w:t>(suppl_2).</w:t>
      </w:r>
    </w:p>
    <w:p w14:paraId="6E860C35" w14:textId="77777777" w:rsidR="00EC396D" w:rsidRPr="00EC396D" w:rsidRDefault="00EC396D" w:rsidP="00EC396D">
      <w:r>
        <w:rPr>
          <w:rFonts w:ascii="Arial" w:hAnsi="Arial" w:cs="Arial"/>
          <w:color w:val="222222"/>
          <w:sz w:val="20"/>
          <w:szCs w:val="20"/>
          <w:shd w:val="clear" w:color="auto" w:fill="FFFFFF"/>
        </w:rPr>
        <w:t>Dietrich, T., Rundle-Thiele, S., Schuster, L., Drennan, J., Russell-Bennett, R., Leo, C., &amp; Connor, J. (2016). Segmenting Australian High School Students Utilising a Two-Step Cluster Analysis: Differential Effects Following the Game on Know Alcohol Program. In </w:t>
      </w:r>
      <w:r>
        <w:rPr>
          <w:rFonts w:ascii="Arial" w:hAnsi="Arial" w:cs="Arial"/>
          <w:i/>
          <w:iCs/>
          <w:color w:val="222222"/>
          <w:sz w:val="20"/>
          <w:szCs w:val="20"/>
          <w:shd w:val="clear" w:color="auto" w:fill="FFFFFF"/>
        </w:rPr>
        <w:t>Rediscovering the Essentiality of Marketing</w:t>
      </w:r>
      <w:r>
        <w:rPr>
          <w:rFonts w:ascii="Arial" w:hAnsi="Arial" w:cs="Arial"/>
          <w:color w:val="222222"/>
          <w:sz w:val="20"/>
          <w:szCs w:val="20"/>
          <w:shd w:val="clear" w:color="auto" w:fill="FFFFFF"/>
        </w:rPr>
        <w:t> (pp. 413-414). Springer, Cham.</w:t>
      </w:r>
    </w:p>
    <w:p w14:paraId="278F3CD3" w14:textId="77777777" w:rsidR="00DF6AA7" w:rsidRPr="00DF6AA7" w:rsidRDefault="00DF6AA7" w:rsidP="00DF6AA7">
      <w:pPr>
        <w:rPr>
          <w:rFonts w:ascii="Arial" w:hAnsi="Arial" w:cs="Arial"/>
          <w:color w:val="222222"/>
          <w:sz w:val="20"/>
          <w:szCs w:val="20"/>
          <w:shd w:val="clear" w:color="auto" w:fill="FFFFFF"/>
        </w:rPr>
      </w:pPr>
      <w:r w:rsidRPr="00DF6AA7">
        <w:rPr>
          <w:rFonts w:ascii="Arial" w:hAnsi="Arial" w:cs="Arial"/>
          <w:color w:val="222222"/>
          <w:sz w:val="20"/>
          <w:szCs w:val="20"/>
          <w:shd w:val="clear" w:color="auto" w:fill="FFFFFF"/>
        </w:rPr>
        <w:t>Knapp, T. R. (2017). Significance Test, Confidence Interval, Both or Neither?. </w:t>
      </w:r>
      <w:r w:rsidRPr="00DF6AA7">
        <w:rPr>
          <w:rFonts w:ascii="Arial" w:hAnsi="Arial" w:cs="Arial"/>
          <w:i/>
          <w:iCs/>
          <w:color w:val="222222"/>
          <w:sz w:val="20"/>
          <w:szCs w:val="20"/>
          <w:shd w:val="clear" w:color="auto" w:fill="FFFFFF"/>
        </w:rPr>
        <w:t>Clinical Nursing Research</w:t>
      </w:r>
      <w:r w:rsidRPr="00DF6AA7">
        <w:rPr>
          <w:rFonts w:ascii="Arial" w:hAnsi="Arial" w:cs="Arial"/>
          <w:color w:val="222222"/>
          <w:sz w:val="20"/>
          <w:szCs w:val="20"/>
          <w:shd w:val="clear" w:color="auto" w:fill="FFFFFF"/>
        </w:rPr>
        <w:t>, </w:t>
      </w:r>
      <w:r w:rsidRPr="00DF6AA7">
        <w:rPr>
          <w:rFonts w:ascii="Arial" w:hAnsi="Arial" w:cs="Arial"/>
          <w:i/>
          <w:iCs/>
          <w:color w:val="222222"/>
          <w:sz w:val="20"/>
          <w:szCs w:val="20"/>
          <w:shd w:val="clear" w:color="auto" w:fill="FFFFFF"/>
        </w:rPr>
        <w:t>26</w:t>
      </w:r>
      <w:r w:rsidRPr="00DF6AA7">
        <w:rPr>
          <w:rFonts w:ascii="Arial" w:hAnsi="Arial" w:cs="Arial"/>
          <w:color w:val="222222"/>
          <w:sz w:val="20"/>
          <w:szCs w:val="20"/>
          <w:shd w:val="clear" w:color="auto" w:fill="FFFFFF"/>
        </w:rPr>
        <w:t>(3), 259-265.</w:t>
      </w:r>
    </w:p>
    <w:p w14:paraId="3D1D2FF6" w14:textId="77777777" w:rsidR="00DF6AA7" w:rsidRDefault="00DF6AA7" w:rsidP="00DF6AA7">
      <w:pPr>
        <w:rPr>
          <w:rFonts w:ascii="Arial" w:hAnsi="Arial" w:cs="Arial"/>
          <w:color w:val="222222"/>
          <w:sz w:val="20"/>
          <w:szCs w:val="20"/>
          <w:shd w:val="clear" w:color="auto" w:fill="FFFFFF"/>
        </w:rPr>
      </w:pPr>
      <w:r w:rsidRPr="00DF6AA7">
        <w:rPr>
          <w:rFonts w:ascii="Arial" w:hAnsi="Arial" w:cs="Arial"/>
          <w:color w:val="222222"/>
          <w:sz w:val="20"/>
          <w:szCs w:val="20"/>
          <w:shd w:val="clear" w:color="auto" w:fill="FFFFFF"/>
        </w:rPr>
        <w:t>Lin, M., Lucas Jr, H. C., &amp; Shmueli, G. (2013). Research commentary—too big to fail: large samples and the p-value problem. </w:t>
      </w:r>
      <w:r w:rsidRPr="00DF6AA7">
        <w:rPr>
          <w:rFonts w:ascii="Arial" w:hAnsi="Arial" w:cs="Arial"/>
          <w:i/>
          <w:iCs/>
          <w:color w:val="222222"/>
          <w:sz w:val="20"/>
          <w:szCs w:val="20"/>
          <w:shd w:val="clear" w:color="auto" w:fill="FFFFFF"/>
        </w:rPr>
        <w:t>Information Systems Research</w:t>
      </w:r>
      <w:r w:rsidRPr="00DF6AA7">
        <w:rPr>
          <w:rFonts w:ascii="Arial" w:hAnsi="Arial" w:cs="Arial"/>
          <w:color w:val="222222"/>
          <w:sz w:val="20"/>
          <w:szCs w:val="20"/>
          <w:shd w:val="clear" w:color="auto" w:fill="FFFFFF"/>
        </w:rPr>
        <w:t>, </w:t>
      </w:r>
      <w:r w:rsidRPr="00DF6AA7">
        <w:rPr>
          <w:rFonts w:ascii="Arial" w:hAnsi="Arial" w:cs="Arial"/>
          <w:i/>
          <w:iCs/>
          <w:color w:val="222222"/>
          <w:sz w:val="20"/>
          <w:szCs w:val="20"/>
          <w:shd w:val="clear" w:color="auto" w:fill="FFFFFF"/>
        </w:rPr>
        <w:t>24</w:t>
      </w:r>
      <w:r w:rsidRPr="00DF6AA7">
        <w:rPr>
          <w:rFonts w:ascii="Arial" w:hAnsi="Arial" w:cs="Arial"/>
          <w:color w:val="222222"/>
          <w:sz w:val="20"/>
          <w:szCs w:val="20"/>
          <w:shd w:val="clear" w:color="auto" w:fill="FFFFFF"/>
        </w:rPr>
        <w:t>(4), 906-917.</w:t>
      </w:r>
    </w:p>
    <w:p w14:paraId="23C5CAE2" w14:textId="77777777" w:rsidR="00D7363D" w:rsidRDefault="00D7363D" w:rsidP="00DF6AA7">
      <w:pPr>
        <w:rPr>
          <w:rFonts w:ascii="Arial" w:hAnsi="Arial" w:cs="Arial"/>
          <w:color w:val="222222"/>
          <w:sz w:val="20"/>
          <w:szCs w:val="20"/>
          <w:shd w:val="clear" w:color="auto" w:fill="FFFFFF"/>
        </w:rPr>
      </w:pPr>
      <w:r>
        <w:rPr>
          <w:rFonts w:ascii="Arial" w:hAnsi="Arial" w:cs="Arial"/>
          <w:color w:val="222222"/>
          <w:sz w:val="20"/>
          <w:szCs w:val="20"/>
          <w:shd w:val="clear" w:color="auto" w:fill="FFFFFF"/>
        </w:rPr>
        <w:t>Meyer, B. D., Mok, W. K., &amp; Sullivan, J. X. (2015). Household surveys in crisis. </w:t>
      </w:r>
      <w:r>
        <w:rPr>
          <w:rFonts w:ascii="Arial" w:hAnsi="Arial" w:cs="Arial"/>
          <w:i/>
          <w:iCs/>
          <w:color w:val="222222"/>
          <w:sz w:val="20"/>
          <w:szCs w:val="20"/>
          <w:shd w:val="clear" w:color="auto" w:fill="FFFFFF"/>
        </w:rPr>
        <w:t>Journal of Economic Perspectives</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29</w:t>
      </w:r>
      <w:r>
        <w:rPr>
          <w:rFonts w:ascii="Arial" w:hAnsi="Arial" w:cs="Arial"/>
          <w:color w:val="222222"/>
          <w:sz w:val="20"/>
          <w:szCs w:val="20"/>
          <w:shd w:val="clear" w:color="auto" w:fill="FFFFFF"/>
        </w:rPr>
        <w:t>(4), 199-226.</w:t>
      </w:r>
    </w:p>
    <w:p w14:paraId="760503C2" w14:textId="77777777" w:rsidR="008D68A4" w:rsidRDefault="008D68A4" w:rsidP="00DF6AA7">
      <w:pPr>
        <w:rPr>
          <w:rFonts w:ascii="Arial" w:hAnsi="Arial" w:cs="Arial"/>
          <w:color w:val="222222"/>
          <w:sz w:val="20"/>
          <w:szCs w:val="20"/>
          <w:shd w:val="clear" w:color="auto" w:fill="FFFFFF"/>
        </w:rPr>
      </w:pPr>
      <w:r>
        <w:rPr>
          <w:rFonts w:ascii="Arial" w:hAnsi="Arial" w:cs="Arial"/>
          <w:color w:val="222222"/>
          <w:sz w:val="20"/>
          <w:szCs w:val="20"/>
          <w:shd w:val="clear" w:color="auto" w:fill="FFFFFF"/>
        </w:rPr>
        <w:t>Tkaczynski, A. (2017). Segmentation using two-step cluster analysis. In </w:t>
      </w:r>
      <w:r>
        <w:rPr>
          <w:rFonts w:ascii="Arial" w:hAnsi="Arial" w:cs="Arial"/>
          <w:i/>
          <w:iCs/>
          <w:color w:val="222222"/>
          <w:sz w:val="20"/>
          <w:szCs w:val="20"/>
          <w:shd w:val="clear" w:color="auto" w:fill="FFFFFF"/>
        </w:rPr>
        <w:t>Segmentation in Social Marketing</w:t>
      </w:r>
      <w:r>
        <w:rPr>
          <w:rFonts w:ascii="Arial" w:hAnsi="Arial" w:cs="Arial"/>
          <w:color w:val="222222"/>
          <w:sz w:val="20"/>
          <w:szCs w:val="20"/>
          <w:shd w:val="clear" w:color="auto" w:fill="FFFFFF"/>
        </w:rPr>
        <w:t> (pp. 109-125). Springer, Singapore.</w:t>
      </w:r>
    </w:p>
    <w:p w14:paraId="396E2A81" w14:textId="77777777" w:rsidR="004B2C25" w:rsidRPr="00DF6AA7" w:rsidRDefault="004B2C25" w:rsidP="00DF6AA7">
      <w:pPr>
        <w:rPr>
          <w:rFonts w:ascii="Arial" w:hAnsi="Arial" w:cs="Arial"/>
          <w:color w:val="222222"/>
          <w:sz w:val="20"/>
          <w:szCs w:val="20"/>
          <w:shd w:val="clear" w:color="auto" w:fill="FFFFFF"/>
        </w:rPr>
      </w:pPr>
      <w:r w:rsidRPr="004B2C25">
        <w:rPr>
          <w:rFonts w:ascii="Arial" w:hAnsi="Arial" w:cs="Arial"/>
          <w:color w:val="222222"/>
          <w:sz w:val="20"/>
          <w:szCs w:val="20"/>
          <w:shd w:val="clear" w:color="auto" w:fill="FFFFFF"/>
        </w:rPr>
        <w:t>Racinskij, V. (2015). Precision of population estimates for different levels and variability of response. Internal ONS paper</w:t>
      </w:r>
    </w:p>
    <w:p w14:paraId="5261689C" w14:textId="77777777" w:rsidR="00DF6AA7" w:rsidRDefault="00DF6AA7" w:rsidP="00DF6AA7">
      <w:pPr>
        <w:rPr>
          <w:rFonts w:ascii="Arial" w:hAnsi="Arial" w:cs="Arial"/>
          <w:color w:val="222222"/>
          <w:sz w:val="20"/>
          <w:szCs w:val="20"/>
          <w:shd w:val="clear" w:color="auto" w:fill="FFFFFF"/>
        </w:rPr>
      </w:pPr>
      <w:r w:rsidRPr="00DF6AA7">
        <w:rPr>
          <w:rFonts w:ascii="Arial" w:hAnsi="Arial" w:cs="Arial"/>
          <w:color w:val="222222"/>
          <w:sz w:val="20"/>
          <w:szCs w:val="20"/>
          <w:shd w:val="clear" w:color="auto" w:fill="FFFFFF"/>
        </w:rPr>
        <w:t>Royall, R. M. (1986). The effect of sample size on the meaning of significance tests. </w:t>
      </w:r>
      <w:r w:rsidRPr="00DF6AA7">
        <w:rPr>
          <w:rFonts w:ascii="Arial" w:hAnsi="Arial" w:cs="Arial"/>
          <w:i/>
          <w:iCs/>
          <w:color w:val="222222"/>
          <w:sz w:val="20"/>
          <w:szCs w:val="20"/>
          <w:shd w:val="clear" w:color="auto" w:fill="FFFFFF"/>
        </w:rPr>
        <w:t>The American Statistician</w:t>
      </w:r>
      <w:r w:rsidRPr="00DF6AA7">
        <w:rPr>
          <w:rFonts w:ascii="Arial" w:hAnsi="Arial" w:cs="Arial"/>
          <w:color w:val="222222"/>
          <w:sz w:val="20"/>
          <w:szCs w:val="20"/>
          <w:shd w:val="clear" w:color="auto" w:fill="FFFFFF"/>
        </w:rPr>
        <w:t>, </w:t>
      </w:r>
      <w:r w:rsidRPr="00DF6AA7">
        <w:rPr>
          <w:rFonts w:ascii="Arial" w:hAnsi="Arial" w:cs="Arial"/>
          <w:i/>
          <w:iCs/>
          <w:color w:val="222222"/>
          <w:sz w:val="20"/>
          <w:szCs w:val="20"/>
          <w:shd w:val="clear" w:color="auto" w:fill="FFFFFF"/>
        </w:rPr>
        <w:t>40</w:t>
      </w:r>
      <w:r w:rsidRPr="00DF6AA7">
        <w:rPr>
          <w:rFonts w:ascii="Arial" w:hAnsi="Arial" w:cs="Arial"/>
          <w:color w:val="222222"/>
          <w:sz w:val="20"/>
          <w:szCs w:val="20"/>
          <w:shd w:val="clear" w:color="auto" w:fill="FFFFFF"/>
        </w:rPr>
        <w:t>(4), 313-315.</w:t>
      </w:r>
    </w:p>
    <w:p w14:paraId="7DF70907" w14:textId="77777777" w:rsidR="00D7363D" w:rsidRDefault="00D7363D" w:rsidP="00DF6AA7">
      <w:pPr>
        <w:rPr>
          <w:rFonts w:ascii="Arial" w:hAnsi="Arial" w:cs="Arial"/>
          <w:color w:val="222222"/>
          <w:sz w:val="20"/>
          <w:szCs w:val="20"/>
          <w:shd w:val="clear" w:color="auto" w:fill="FFFFFF"/>
        </w:rPr>
      </w:pPr>
      <w:r>
        <w:rPr>
          <w:rFonts w:ascii="Arial" w:hAnsi="Arial" w:cs="Arial"/>
          <w:color w:val="222222"/>
          <w:sz w:val="20"/>
          <w:szCs w:val="20"/>
          <w:shd w:val="clear" w:color="auto" w:fill="FFFFFF"/>
        </w:rPr>
        <w:t>Salganik, M. J. (2017). </w:t>
      </w:r>
      <w:r>
        <w:rPr>
          <w:rFonts w:ascii="Arial" w:hAnsi="Arial" w:cs="Arial"/>
          <w:i/>
          <w:iCs/>
          <w:color w:val="222222"/>
          <w:sz w:val="20"/>
          <w:szCs w:val="20"/>
          <w:shd w:val="clear" w:color="auto" w:fill="FFFFFF"/>
        </w:rPr>
        <w:t>Bit by bit: social research in the digital age</w:t>
      </w:r>
      <w:r>
        <w:rPr>
          <w:rFonts w:ascii="Arial" w:hAnsi="Arial" w:cs="Arial"/>
          <w:color w:val="222222"/>
          <w:sz w:val="20"/>
          <w:szCs w:val="20"/>
          <w:shd w:val="clear" w:color="auto" w:fill="FFFFFF"/>
        </w:rPr>
        <w:t>. Princeton University Press.</w:t>
      </w:r>
    </w:p>
    <w:p w14:paraId="09224204" w14:textId="77777777" w:rsidR="008D68A4" w:rsidRDefault="008D68A4" w:rsidP="00DF6AA7">
      <w:pPr>
        <w:rPr>
          <w:rFonts w:ascii="Arial" w:hAnsi="Arial" w:cs="Arial"/>
          <w:color w:val="222222"/>
          <w:sz w:val="20"/>
          <w:szCs w:val="20"/>
          <w:shd w:val="clear" w:color="auto" w:fill="FFFFFF"/>
        </w:rPr>
      </w:pPr>
      <w:r>
        <w:rPr>
          <w:rFonts w:ascii="Arial" w:hAnsi="Arial" w:cs="Arial"/>
          <w:color w:val="222222"/>
          <w:sz w:val="20"/>
          <w:szCs w:val="20"/>
          <w:shd w:val="clear" w:color="auto" w:fill="FFFFFF"/>
        </w:rPr>
        <w:t>Sarstedt, M., &amp; Mooi, E. (2014). Cluster analysis. In </w:t>
      </w:r>
      <w:r>
        <w:rPr>
          <w:rFonts w:ascii="Arial" w:hAnsi="Arial" w:cs="Arial"/>
          <w:i/>
          <w:iCs/>
          <w:color w:val="222222"/>
          <w:sz w:val="20"/>
          <w:szCs w:val="20"/>
          <w:shd w:val="clear" w:color="auto" w:fill="FFFFFF"/>
        </w:rPr>
        <w:t>A concise guide to market research</w:t>
      </w:r>
      <w:r>
        <w:rPr>
          <w:rFonts w:ascii="Arial" w:hAnsi="Arial" w:cs="Arial"/>
          <w:color w:val="222222"/>
          <w:sz w:val="20"/>
          <w:szCs w:val="20"/>
          <w:shd w:val="clear" w:color="auto" w:fill="FFFFFF"/>
        </w:rPr>
        <w:t> (pp. 273-324). Springer, Berlin, Heidelberg.</w:t>
      </w:r>
    </w:p>
    <w:p w14:paraId="1AE1C1AC" w14:textId="5AD65196" w:rsidR="00DF6AA7" w:rsidRDefault="008D68A4" w:rsidP="00DF6AA7">
      <w:r>
        <w:rPr>
          <w:rFonts w:ascii="Arial" w:hAnsi="Arial" w:cs="Arial"/>
          <w:color w:val="222222"/>
          <w:sz w:val="20"/>
          <w:szCs w:val="20"/>
          <w:shd w:val="clear" w:color="auto" w:fill="FFFFFF"/>
        </w:rPr>
        <w:t>Silverman, B. W. (2018). </w:t>
      </w:r>
      <w:r>
        <w:rPr>
          <w:rFonts w:ascii="Arial" w:hAnsi="Arial" w:cs="Arial"/>
          <w:i/>
          <w:iCs/>
          <w:color w:val="222222"/>
          <w:sz w:val="20"/>
          <w:szCs w:val="20"/>
          <w:shd w:val="clear" w:color="auto" w:fill="FFFFFF"/>
        </w:rPr>
        <w:t>Density estimation for statistics and data analysis</w:t>
      </w:r>
      <w:r>
        <w:rPr>
          <w:rFonts w:ascii="Arial" w:hAnsi="Arial" w:cs="Arial"/>
          <w:color w:val="222222"/>
          <w:sz w:val="20"/>
          <w:szCs w:val="20"/>
          <w:shd w:val="clear" w:color="auto" w:fill="FFFFFF"/>
        </w:rPr>
        <w:t>. Routledge.</w:t>
      </w:r>
    </w:p>
    <w:p w14:paraId="61CFABA4" w14:textId="77777777" w:rsidR="00E55BC3" w:rsidRDefault="00E55BC3" w:rsidP="00DF6AA7"/>
    <w:p w14:paraId="76F8A058" w14:textId="77777777" w:rsidR="00E55BC3" w:rsidRDefault="00E55BC3" w:rsidP="00DF6AA7"/>
    <w:p w14:paraId="2EA4D2CE" w14:textId="77777777" w:rsidR="00E55BC3" w:rsidRDefault="00E55BC3" w:rsidP="00DF6AA7"/>
    <w:p w14:paraId="0437E7A1" w14:textId="77777777" w:rsidR="00E55BC3" w:rsidRDefault="00E55BC3" w:rsidP="00DF6AA7"/>
    <w:p w14:paraId="6FBDC734" w14:textId="77777777" w:rsidR="00DF6AA7" w:rsidRPr="00DF6AA7" w:rsidRDefault="00DF6AA7" w:rsidP="00DF6AA7"/>
    <w:p w14:paraId="5E900D2D" w14:textId="77777777" w:rsidR="00642C31" w:rsidRDefault="00642C31"/>
    <w:sectPr w:rsidR="00642C31" w:rsidSect="00642C31">
      <w:footerReference w:type="default" r:id="rId31"/>
      <w:pgSz w:w="12240" w:h="15840"/>
      <w:pgMar w:top="1440" w:right="1440" w:bottom="1440" w:left="1440" w:header="0" w:footer="708"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0A6424" w14:textId="77777777" w:rsidR="00AD1BF4" w:rsidRDefault="00AD1BF4" w:rsidP="00642C31">
      <w:pPr>
        <w:spacing w:after="0" w:line="240" w:lineRule="auto"/>
      </w:pPr>
      <w:r>
        <w:separator/>
      </w:r>
    </w:p>
  </w:endnote>
  <w:endnote w:type="continuationSeparator" w:id="0">
    <w:p w14:paraId="7F1362D3" w14:textId="77777777" w:rsidR="00AD1BF4" w:rsidRDefault="00AD1BF4" w:rsidP="00642C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Noto Sans CJK SC Regular">
    <w:panose1 w:val="00000000000000000000"/>
    <w:charset w:val="00"/>
    <w:family w:val="roman"/>
    <w:notTrueType/>
    <w:pitch w:val="default"/>
  </w:font>
  <w:font w:name="FreeSan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1349110"/>
      <w:docPartObj>
        <w:docPartGallery w:val="Page Numbers (Bottom of Page)"/>
        <w:docPartUnique/>
      </w:docPartObj>
    </w:sdtPr>
    <w:sdtEndPr/>
    <w:sdtContent>
      <w:p w14:paraId="6CA8CFE6" w14:textId="1B87FA9B" w:rsidR="00EF65BB" w:rsidRDefault="00EF65BB">
        <w:pPr>
          <w:pStyle w:val="Footer"/>
          <w:jc w:val="right"/>
        </w:pPr>
        <w:r>
          <w:fldChar w:fldCharType="begin"/>
        </w:r>
        <w:r>
          <w:instrText>PAGE</w:instrText>
        </w:r>
        <w:r>
          <w:fldChar w:fldCharType="separate"/>
        </w:r>
        <w:r w:rsidR="00970A4E">
          <w:rPr>
            <w:noProof/>
          </w:rPr>
          <w:t>20</w:t>
        </w:r>
        <w:r>
          <w:fldChar w:fldCharType="end"/>
        </w:r>
      </w:p>
    </w:sdtContent>
  </w:sdt>
  <w:p w14:paraId="233C9A6D" w14:textId="77777777" w:rsidR="00EF65BB" w:rsidRDefault="00EF65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C822BD" w14:textId="77777777" w:rsidR="00AD1BF4" w:rsidRDefault="00AD1BF4">
      <w:r>
        <w:separator/>
      </w:r>
    </w:p>
  </w:footnote>
  <w:footnote w:type="continuationSeparator" w:id="0">
    <w:p w14:paraId="24C051DE" w14:textId="77777777" w:rsidR="00AD1BF4" w:rsidRDefault="00AD1BF4">
      <w:r>
        <w:continuationSeparator/>
      </w:r>
    </w:p>
  </w:footnote>
  <w:footnote w:id="1">
    <w:p w14:paraId="60F43F13" w14:textId="55F3EC07" w:rsidR="00EF65BB" w:rsidRPr="00FB59E4" w:rsidRDefault="00EF65BB">
      <w:pPr>
        <w:pStyle w:val="FootnoteText"/>
        <w:rPr>
          <w:lang w:val="en-GB"/>
        </w:rPr>
      </w:pPr>
      <w:r>
        <w:rPr>
          <w:rStyle w:val="FootnoteReference"/>
        </w:rPr>
        <w:footnoteRef/>
      </w:r>
      <w:r>
        <w:t xml:space="preserve"> </w:t>
      </w:r>
      <w:r>
        <w:rPr>
          <w:lang w:val="en-GB"/>
        </w:rPr>
        <w:t xml:space="preserve">The 2016 test was a </w:t>
      </w:r>
      <w:r w:rsidR="00E367CD">
        <w:rPr>
          <w:lang w:val="en-GB"/>
        </w:rPr>
        <w:t>small-scale</w:t>
      </w:r>
      <w:r>
        <w:rPr>
          <w:lang w:val="en-GB"/>
        </w:rPr>
        <w:t xml:space="preserve"> test conducted by the ONS where 11</w:t>
      </w:r>
      <w:r w:rsidR="00D80ED8">
        <w:rPr>
          <w:lang w:val="en-GB"/>
        </w:rPr>
        <w:t>,</w:t>
      </w:r>
      <w:r>
        <w:rPr>
          <w:lang w:val="en-GB"/>
        </w:rPr>
        <w:t xml:space="preserve">463 participants were contacted and </w:t>
      </w:r>
      <w:r w:rsidR="00E367CD">
        <w:rPr>
          <w:lang w:val="en-GB"/>
        </w:rPr>
        <w:t>asked,</w:t>
      </w:r>
      <w:r>
        <w:rPr>
          <w:lang w:val="en-GB"/>
        </w:rPr>
        <w:t xml:space="preserve"> “</w:t>
      </w:r>
      <w:r w:rsidRPr="00775C3C">
        <w:rPr>
          <w:lang w:val="en-GB"/>
        </w:rPr>
        <w:t>If tomorrow was Census Day, how would you prefer to complete your form?"</w:t>
      </w:r>
      <w:r>
        <w:rPr>
          <w:lang w:val="en-GB"/>
        </w:rPr>
        <w:t>. Using a universe of 1</w:t>
      </w:r>
      <w:r w:rsidR="00D80ED8">
        <w:rPr>
          <w:lang w:val="en-GB"/>
        </w:rPr>
        <w:t>,</w:t>
      </w:r>
      <w:r>
        <w:rPr>
          <w:lang w:val="en-GB"/>
        </w:rPr>
        <w:t>789 online respondents this test revealed that all age groups between the ranges of 18 to 74 had a preference to respon</w:t>
      </w:r>
      <w:r w:rsidR="00D80ED8">
        <w:rPr>
          <w:lang w:val="en-GB"/>
        </w:rPr>
        <w:t>d</w:t>
      </w:r>
      <w:r>
        <w:rPr>
          <w:lang w:val="en-GB"/>
        </w:rPr>
        <w:t xml:space="preserve"> online (above 75% preference) and only the above 75 preferred to respond on paper (55%).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B7280"/>
    <w:multiLevelType w:val="multilevel"/>
    <w:tmpl w:val="A1E67F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74E6B5F"/>
    <w:multiLevelType w:val="multilevel"/>
    <w:tmpl w:val="CE02B99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07660916"/>
    <w:multiLevelType w:val="multilevel"/>
    <w:tmpl w:val="96BAE8B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09D31249"/>
    <w:multiLevelType w:val="multilevel"/>
    <w:tmpl w:val="6E260E88"/>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00953FF"/>
    <w:multiLevelType w:val="hybridMultilevel"/>
    <w:tmpl w:val="2AE4E7F4"/>
    <w:lvl w:ilvl="0" w:tplc="08090015">
      <w:start w:val="1"/>
      <w:numFmt w:val="upp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38D173F"/>
    <w:multiLevelType w:val="multilevel"/>
    <w:tmpl w:val="E8580A3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245B74FD"/>
    <w:multiLevelType w:val="multilevel"/>
    <w:tmpl w:val="F162078E"/>
    <w:lvl w:ilvl="0">
      <w:start w:val="2"/>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7" w15:restartNumberingAfterBreak="0">
    <w:nsid w:val="25A03357"/>
    <w:multiLevelType w:val="multilevel"/>
    <w:tmpl w:val="A6186A2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15:restartNumberingAfterBreak="0">
    <w:nsid w:val="28B25D3F"/>
    <w:multiLevelType w:val="multilevel"/>
    <w:tmpl w:val="7590BA6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hint="default"/>
      </w:rPr>
    </w:lvl>
    <w:lvl w:ilvl="3">
      <w:start w:val="1"/>
      <w:numFmt w:val="decimal"/>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8C300A2"/>
    <w:multiLevelType w:val="hybridMultilevel"/>
    <w:tmpl w:val="F760A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054880"/>
    <w:multiLevelType w:val="hybridMultilevel"/>
    <w:tmpl w:val="2C4CCFEE"/>
    <w:lvl w:ilvl="0" w:tplc="08090015">
      <w:start w:val="1"/>
      <w:numFmt w:val="upp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294040A"/>
    <w:multiLevelType w:val="multilevel"/>
    <w:tmpl w:val="57D023C4"/>
    <w:lvl w:ilvl="0">
      <w:start w:val="1"/>
      <w:numFmt w:val="bullet"/>
      <w:lvlText w:val=""/>
      <w:lvlJc w:val="left"/>
      <w:pPr>
        <w:ind w:left="765" w:hanging="360"/>
      </w:pPr>
      <w:rPr>
        <w:rFonts w:ascii="Symbol" w:hAnsi="Symbol" w:cs="Symbol" w:hint="default"/>
      </w:rPr>
    </w:lvl>
    <w:lvl w:ilvl="1">
      <w:start w:val="1"/>
      <w:numFmt w:val="bullet"/>
      <w:lvlText w:val="o"/>
      <w:lvlJc w:val="left"/>
      <w:pPr>
        <w:ind w:left="1485" w:hanging="360"/>
      </w:pPr>
      <w:rPr>
        <w:rFonts w:ascii="Courier New" w:hAnsi="Courier New" w:cs="Courier New" w:hint="default"/>
      </w:rPr>
    </w:lvl>
    <w:lvl w:ilvl="2">
      <w:start w:val="1"/>
      <w:numFmt w:val="bullet"/>
      <w:lvlText w:val=""/>
      <w:lvlJc w:val="left"/>
      <w:pPr>
        <w:ind w:left="2205" w:hanging="360"/>
      </w:pPr>
      <w:rPr>
        <w:rFonts w:ascii="Wingdings" w:hAnsi="Wingdings" w:cs="Wingdings" w:hint="default"/>
      </w:rPr>
    </w:lvl>
    <w:lvl w:ilvl="3">
      <w:start w:val="1"/>
      <w:numFmt w:val="bullet"/>
      <w:lvlText w:val=""/>
      <w:lvlJc w:val="left"/>
      <w:pPr>
        <w:ind w:left="2925" w:hanging="360"/>
      </w:pPr>
      <w:rPr>
        <w:rFonts w:ascii="Symbol" w:hAnsi="Symbol" w:cs="Symbol" w:hint="default"/>
      </w:rPr>
    </w:lvl>
    <w:lvl w:ilvl="4">
      <w:start w:val="1"/>
      <w:numFmt w:val="bullet"/>
      <w:lvlText w:val="o"/>
      <w:lvlJc w:val="left"/>
      <w:pPr>
        <w:ind w:left="3645" w:hanging="360"/>
      </w:pPr>
      <w:rPr>
        <w:rFonts w:ascii="Courier New" w:hAnsi="Courier New" w:cs="Courier New" w:hint="default"/>
      </w:rPr>
    </w:lvl>
    <w:lvl w:ilvl="5">
      <w:start w:val="1"/>
      <w:numFmt w:val="bullet"/>
      <w:lvlText w:val=""/>
      <w:lvlJc w:val="left"/>
      <w:pPr>
        <w:ind w:left="4365" w:hanging="360"/>
      </w:pPr>
      <w:rPr>
        <w:rFonts w:ascii="Wingdings" w:hAnsi="Wingdings" w:cs="Wingdings" w:hint="default"/>
      </w:rPr>
    </w:lvl>
    <w:lvl w:ilvl="6">
      <w:start w:val="1"/>
      <w:numFmt w:val="bullet"/>
      <w:lvlText w:val=""/>
      <w:lvlJc w:val="left"/>
      <w:pPr>
        <w:ind w:left="5085" w:hanging="360"/>
      </w:pPr>
      <w:rPr>
        <w:rFonts w:ascii="Symbol" w:hAnsi="Symbol" w:cs="Symbol" w:hint="default"/>
      </w:rPr>
    </w:lvl>
    <w:lvl w:ilvl="7">
      <w:start w:val="1"/>
      <w:numFmt w:val="bullet"/>
      <w:lvlText w:val="o"/>
      <w:lvlJc w:val="left"/>
      <w:pPr>
        <w:ind w:left="5805" w:hanging="360"/>
      </w:pPr>
      <w:rPr>
        <w:rFonts w:ascii="Courier New" w:hAnsi="Courier New" w:cs="Courier New" w:hint="default"/>
      </w:rPr>
    </w:lvl>
    <w:lvl w:ilvl="8">
      <w:start w:val="1"/>
      <w:numFmt w:val="bullet"/>
      <w:lvlText w:val=""/>
      <w:lvlJc w:val="left"/>
      <w:pPr>
        <w:ind w:left="6525" w:hanging="360"/>
      </w:pPr>
      <w:rPr>
        <w:rFonts w:ascii="Wingdings" w:hAnsi="Wingdings" w:cs="Wingdings" w:hint="default"/>
      </w:rPr>
    </w:lvl>
  </w:abstractNum>
  <w:abstractNum w:abstractNumId="12" w15:restartNumberingAfterBreak="0">
    <w:nsid w:val="35EB3937"/>
    <w:multiLevelType w:val="multilevel"/>
    <w:tmpl w:val="678A9EA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15:restartNumberingAfterBreak="0">
    <w:nsid w:val="454E1525"/>
    <w:multiLevelType w:val="multilevel"/>
    <w:tmpl w:val="A1E67F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34F35BA"/>
    <w:multiLevelType w:val="multilevel"/>
    <w:tmpl w:val="C2FCE4D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5C4F0D0D"/>
    <w:multiLevelType w:val="hybridMultilevel"/>
    <w:tmpl w:val="A4527CF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77240400">
      <w:start w:val="1"/>
      <w:numFmt w:val="decimal"/>
      <w:lvlText w:val="(%3)"/>
      <w:lvlJc w:val="left"/>
      <w:pPr>
        <w:ind w:left="2340" w:hanging="360"/>
      </w:pPr>
      <w:rPr>
        <w:rFonts w:cstheme="minorBidi" w:hint="default"/>
      </w:rPr>
    </w:lvl>
    <w:lvl w:ilvl="3" w:tplc="3E16390A">
      <w:numFmt w:val="bullet"/>
      <w:lvlText w:val="•"/>
      <w:lvlJc w:val="left"/>
      <w:pPr>
        <w:ind w:left="3240" w:hanging="720"/>
      </w:pPr>
      <w:rPr>
        <w:rFonts w:ascii="Calibri" w:eastAsiaTheme="minorHAnsi" w:hAnsi="Calibri" w:cstheme="minorBidi"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3323D7D"/>
    <w:multiLevelType w:val="hybridMultilevel"/>
    <w:tmpl w:val="64429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D983926"/>
    <w:multiLevelType w:val="multilevel"/>
    <w:tmpl w:val="548AAF7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15:restartNumberingAfterBreak="0">
    <w:nsid w:val="73A5632F"/>
    <w:multiLevelType w:val="multilevel"/>
    <w:tmpl w:val="7D8E26B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15:restartNumberingAfterBreak="0">
    <w:nsid w:val="740005EE"/>
    <w:multiLevelType w:val="multilevel"/>
    <w:tmpl w:val="558419EA"/>
    <w:lvl w:ilvl="0">
      <w:start w:val="1"/>
      <w:numFmt w:val="bullet"/>
      <w:lvlText w:val=""/>
      <w:lvlJc w:val="left"/>
      <w:pPr>
        <w:ind w:left="750" w:hanging="360"/>
      </w:pPr>
      <w:rPr>
        <w:rFonts w:ascii="Symbol" w:hAnsi="Symbol" w:cs="Symbol" w:hint="default"/>
      </w:rPr>
    </w:lvl>
    <w:lvl w:ilvl="1">
      <w:start w:val="1"/>
      <w:numFmt w:val="bullet"/>
      <w:lvlText w:val="o"/>
      <w:lvlJc w:val="left"/>
      <w:pPr>
        <w:ind w:left="1470" w:hanging="360"/>
      </w:pPr>
      <w:rPr>
        <w:rFonts w:ascii="Courier New" w:hAnsi="Courier New" w:cs="Courier New" w:hint="default"/>
      </w:rPr>
    </w:lvl>
    <w:lvl w:ilvl="2">
      <w:start w:val="1"/>
      <w:numFmt w:val="bullet"/>
      <w:lvlText w:val=""/>
      <w:lvlJc w:val="left"/>
      <w:pPr>
        <w:ind w:left="2190" w:hanging="360"/>
      </w:pPr>
      <w:rPr>
        <w:rFonts w:ascii="Wingdings" w:hAnsi="Wingdings" w:cs="Wingdings" w:hint="default"/>
      </w:rPr>
    </w:lvl>
    <w:lvl w:ilvl="3">
      <w:start w:val="1"/>
      <w:numFmt w:val="bullet"/>
      <w:lvlText w:val=""/>
      <w:lvlJc w:val="left"/>
      <w:pPr>
        <w:ind w:left="2910" w:hanging="360"/>
      </w:pPr>
      <w:rPr>
        <w:rFonts w:ascii="Symbol" w:hAnsi="Symbol" w:cs="Symbol" w:hint="default"/>
      </w:rPr>
    </w:lvl>
    <w:lvl w:ilvl="4">
      <w:start w:val="1"/>
      <w:numFmt w:val="bullet"/>
      <w:lvlText w:val="o"/>
      <w:lvlJc w:val="left"/>
      <w:pPr>
        <w:ind w:left="3630" w:hanging="360"/>
      </w:pPr>
      <w:rPr>
        <w:rFonts w:ascii="Courier New" w:hAnsi="Courier New" w:cs="Courier New" w:hint="default"/>
      </w:rPr>
    </w:lvl>
    <w:lvl w:ilvl="5">
      <w:start w:val="1"/>
      <w:numFmt w:val="bullet"/>
      <w:lvlText w:val=""/>
      <w:lvlJc w:val="left"/>
      <w:pPr>
        <w:ind w:left="4350" w:hanging="360"/>
      </w:pPr>
      <w:rPr>
        <w:rFonts w:ascii="Wingdings" w:hAnsi="Wingdings" w:cs="Wingdings" w:hint="default"/>
      </w:rPr>
    </w:lvl>
    <w:lvl w:ilvl="6">
      <w:start w:val="1"/>
      <w:numFmt w:val="bullet"/>
      <w:lvlText w:val=""/>
      <w:lvlJc w:val="left"/>
      <w:pPr>
        <w:ind w:left="5070" w:hanging="360"/>
      </w:pPr>
      <w:rPr>
        <w:rFonts w:ascii="Symbol" w:hAnsi="Symbol" w:cs="Symbol" w:hint="default"/>
      </w:rPr>
    </w:lvl>
    <w:lvl w:ilvl="7">
      <w:start w:val="1"/>
      <w:numFmt w:val="bullet"/>
      <w:lvlText w:val="o"/>
      <w:lvlJc w:val="left"/>
      <w:pPr>
        <w:ind w:left="5790" w:hanging="360"/>
      </w:pPr>
      <w:rPr>
        <w:rFonts w:ascii="Courier New" w:hAnsi="Courier New" w:cs="Courier New" w:hint="default"/>
      </w:rPr>
    </w:lvl>
    <w:lvl w:ilvl="8">
      <w:start w:val="1"/>
      <w:numFmt w:val="bullet"/>
      <w:lvlText w:val=""/>
      <w:lvlJc w:val="left"/>
      <w:pPr>
        <w:ind w:left="6510" w:hanging="360"/>
      </w:pPr>
      <w:rPr>
        <w:rFonts w:ascii="Wingdings" w:hAnsi="Wingdings" w:cs="Wingdings" w:hint="default"/>
      </w:rPr>
    </w:lvl>
  </w:abstractNum>
  <w:num w:numId="1">
    <w:abstractNumId w:val="14"/>
  </w:num>
  <w:num w:numId="2">
    <w:abstractNumId w:val="2"/>
  </w:num>
  <w:num w:numId="3">
    <w:abstractNumId w:val="18"/>
  </w:num>
  <w:num w:numId="4">
    <w:abstractNumId w:val="1"/>
  </w:num>
  <w:num w:numId="5">
    <w:abstractNumId w:val="19"/>
  </w:num>
  <w:num w:numId="6">
    <w:abstractNumId w:val="12"/>
  </w:num>
  <w:num w:numId="7">
    <w:abstractNumId w:val="17"/>
  </w:num>
  <w:num w:numId="8">
    <w:abstractNumId w:val="5"/>
  </w:num>
  <w:num w:numId="9">
    <w:abstractNumId w:val="11"/>
  </w:num>
  <w:num w:numId="10">
    <w:abstractNumId w:val="13"/>
  </w:num>
  <w:num w:numId="11">
    <w:abstractNumId w:val="7"/>
  </w:num>
  <w:num w:numId="12">
    <w:abstractNumId w:val="8"/>
  </w:num>
  <w:num w:numId="13">
    <w:abstractNumId w:val="3"/>
  </w:num>
  <w:num w:numId="14">
    <w:abstractNumId w:val="0"/>
  </w:num>
  <w:num w:numId="15">
    <w:abstractNumId w:val="10"/>
  </w:num>
  <w:num w:numId="16">
    <w:abstractNumId w:val="15"/>
  </w:num>
  <w:num w:numId="17">
    <w:abstractNumId w:val="4"/>
  </w:num>
  <w:num w:numId="18">
    <w:abstractNumId w:val="6"/>
  </w:num>
  <w:num w:numId="19">
    <w:abstractNumId w:val="9"/>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2C31"/>
    <w:rsid w:val="000263D3"/>
    <w:rsid w:val="000346AB"/>
    <w:rsid w:val="00095F2D"/>
    <w:rsid w:val="000C1357"/>
    <w:rsid w:val="000C2E42"/>
    <w:rsid w:val="000C42DE"/>
    <w:rsid w:val="000E1609"/>
    <w:rsid w:val="000E238A"/>
    <w:rsid w:val="00102AD6"/>
    <w:rsid w:val="001060A0"/>
    <w:rsid w:val="0011413F"/>
    <w:rsid w:val="00117734"/>
    <w:rsid w:val="001363EB"/>
    <w:rsid w:val="00141C97"/>
    <w:rsid w:val="0016032A"/>
    <w:rsid w:val="00170248"/>
    <w:rsid w:val="00172561"/>
    <w:rsid w:val="00196675"/>
    <w:rsid w:val="001E6406"/>
    <w:rsid w:val="001F6B1B"/>
    <w:rsid w:val="00201237"/>
    <w:rsid w:val="002110A5"/>
    <w:rsid w:val="00274858"/>
    <w:rsid w:val="002842CA"/>
    <w:rsid w:val="00325629"/>
    <w:rsid w:val="0032619B"/>
    <w:rsid w:val="003361C8"/>
    <w:rsid w:val="003417CE"/>
    <w:rsid w:val="00350FFB"/>
    <w:rsid w:val="00357AC9"/>
    <w:rsid w:val="0038076E"/>
    <w:rsid w:val="003F6B9A"/>
    <w:rsid w:val="00414D44"/>
    <w:rsid w:val="0048622A"/>
    <w:rsid w:val="004B2C25"/>
    <w:rsid w:val="004C0C2E"/>
    <w:rsid w:val="004F41D7"/>
    <w:rsid w:val="004F6810"/>
    <w:rsid w:val="005005D4"/>
    <w:rsid w:val="00503E0C"/>
    <w:rsid w:val="0050624D"/>
    <w:rsid w:val="00507944"/>
    <w:rsid w:val="005307EE"/>
    <w:rsid w:val="00537DD3"/>
    <w:rsid w:val="0056557B"/>
    <w:rsid w:val="00574C6C"/>
    <w:rsid w:val="0057797C"/>
    <w:rsid w:val="005A6791"/>
    <w:rsid w:val="005C4CAE"/>
    <w:rsid w:val="005C6F0F"/>
    <w:rsid w:val="005F5C12"/>
    <w:rsid w:val="00610141"/>
    <w:rsid w:val="00620C10"/>
    <w:rsid w:val="0063122A"/>
    <w:rsid w:val="00642C31"/>
    <w:rsid w:val="00644813"/>
    <w:rsid w:val="00661209"/>
    <w:rsid w:val="006B58FF"/>
    <w:rsid w:val="00703B67"/>
    <w:rsid w:val="00730250"/>
    <w:rsid w:val="00761079"/>
    <w:rsid w:val="00772E46"/>
    <w:rsid w:val="00775C3C"/>
    <w:rsid w:val="00776410"/>
    <w:rsid w:val="007B0BF0"/>
    <w:rsid w:val="007B1FDD"/>
    <w:rsid w:val="007B78E3"/>
    <w:rsid w:val="007E72E5"/>
    <w:rsid w:val="00822406"/>
    <w:rsid w:val="008417E4"/>
    <w:rsid w:val="008474FF"/>
    <w:rsid w:val="0085547A"/>
    <w:rsid w:val="0085638D"/>
    <w:rsid w:val="008578C7"/>
    <w:rsid w:val="008729B8"/>
    <w:rsid w:val="00881127"/>
    <w:rsid w:val="00884990"/>
    <w:rsid w:val="0088508D"/>
    <w:rsid w:val="00885FFA"/>
    <w:rsid w:val="008A64E2"/>
    <w:rsid w:val="008B53D7"/>
    <w:rsid w:val="008B61F1"/>
    <w:rsid w:val="008D68A4"/>
    <w:rsid w:val="008F5AF2"/>
    <w:rsid w:val="00922037"/>
    <w:rsid w:val="00944147"/>
    <w:rsid w:val="00963851"/>
    <w:rsid w:val="00970660"/>
    <w:rsid w:val="00970A4E"/>
    <w:rsid w:val="00974F97"/>
    <w:rsid w:val="009941B8"/>
    <w:rsid w:val="00997E04"/>
    <w:rsid w:val="009A0FDA"/>
    <w:rsid w:val="009C06CD"/>
    <w:rsid w:val="009D69C1"/>
    <w:rsid w:val="009F350E"/>
    <w:rsid w:val="009F3E9A"/>
    <w:rsid w:val="00A16378"/>
    <w:rsid w:val="00A171FB"/>
    <w:rsid w:val="00A34C71"/>
    <w:rsid w:val="00A432AE"/>
    <w:rsid w:val="00A53D05"/>
    <w:rsid w:val="00A67598"/>
    <w:rsid w:val="00A90AD6"/>
    <w:rsid w:val="00AB3415"/>
    <w:rsid w:val="00AC39B9"/>
    <w:rsid w:val="00AD1BF4"/>
    <w:rsid w:val="00AE34C0"/>
    <w:rsid w:val="00AE79B0"/>
    <w:rsid w:val="00B05B51"/>
    <w:rsid w:val="00B5685A"/>
    <w:rsid w:val="00B71ABB"/>
    <w:rsid w:val="00BB1FC4"/>
    <w:rsid w:val="00BE3B3F"/>
    <w:rsid w:val="00C0195E"/>
    <w:rsid w:val="00C03A77"/>
    <w:rsid w:val="00C317C4"/>
    <w:rsid w:val="00C402EA"/>
    <w:rsid w:val="00C46C83"/>
    <w:rsid w:val="00C6169D"/>
    <w:rsid w:val="00C861C3"/>
    <w:rsid w:val="00C94196"/>
    <w:rsid w:val="00CA296E"/>
    <w:rsid w:val="00CD166F"/>
    <w:rsid w:val="00CE3218"/>
    <w:rsid w:val="00CF158E"/>
    <w:rsid w:val="00D21714"/>
    <w:rsid w:val="00D23D57"/>
    <w:rsid w:val="00D30B8E"/>
    <w:rsid w:val="00D5059C"/>
    <w:rsid w:val="00D63E42"/>
    <w:rsid w:val="00D650B3"/>
    <w:rsid w:val="00D7363D"/>
    <w:rsid w:val="00D80ED8"/>
    <w:rsid w:val="00DA4635"/>
    <w:rsid w:val="00DB08CF"/>
    <w:rsid w:val="00DB5A36"/>
    <w:rsid w:val="00DF195A"/>
    <w:rsid w:val="00DF1A12"/>
    <w:rsid w:val="00DF6AA7"/>
    <w:rsid w:val="00E04DFD"/>
    <w:rsid w:val="00E07DF9"/>
    <w:rsid w:val="00E17C6D"/>
    <w:rsid w:val="00E24F8C"/>
    <w:rsid w:val="00E31004"/>
    <w:rsid w:val="00E325C3"/>
    <w:rsid w:val="00E35099"/>
    <w:rsid w:val="00E367CD"/>
    <w:rsid w:val="00E55043"/>
    <w:rsid w:val="00E55BC3"/>
    <w:rsid w:val="00E742A7"/>
    <w:rsid w:val="00E76832"/>
    <w:rsid w:val="00EC396D"/>
    <w:rsid w:val="00EC6877"/>
    <w:rsid w:val="00EF65BB"/>
    <w:rsid w:val="00F12161"/>
    <w:rsid w:val="00F263FF"/>
    <w:rsid w:val="00F67C3A"/>
    <w:rsid w:val="00F83EBB"/>
    <w:rsid w:val="00FA65F2"/>
    <w:rsid w:val="00FA7962"/>
    <w:rsid w:val="00FB59E4"/>
    <w:rsid w:val="00FC662B"/>
    <w:rsid w:val="00FE71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1D946"/>
  <w15:docId w15:val="{F1277745-BEF0-43DF-8A63-52D2E0CD5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790F"/>
    <w:pPr>
      <w:spacing w:after="200" w:line="276" w:lineRule="auto"/>
    </w:pPr>
  </w:style>
  <w:style w:type="paragraph" w:styleId="Heading1">
    <w:name w:val="heading 1"/>
    <w:basedOn w:val="Normal"/>
    <w:next w:val="Normal"/>
    <w:link w:val="Heading1Char"/>
    <w:uiPriority w:val="9"/>
    <w:qFormat/>
    <w:rsid w:val="00D0183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basedOn w:val="DefaultParagraphFont"/>
    <w:link w:val="FootnoteText"/>
    <w:uiPriority w:val="99"/>
    <w:semiHidden/>
    <w:qFormat/>
    <w:rsid w:val="00723E8D"/>
    <w:rPr>
      <w:sz w:val="20"/>
      <w:szCs w:val="20"/>
      <w:lang w:val="en-GB"/>
    </w:rPr>
  </w:style>
  <w:style w:type="character" w:styleId="FootnoteReference">
    <w:name w:val="footnote reference"/>
    <w:basedOn w:val="DefaultParagraphFont"/>
    <w:uiPriority w:val="99"/>
    <w:semiHidden/>
    <w:unhideWhenUsed/>
    <w:qFormat/>
    <w:rsid w:val="00723E8D"/>
    <w:rPr>
      <w:vertAlign w:val="superscript"/>
    </w:rPr>
  </w:style>
  <w:style w:type="character" w:customStyle="1" w:styleId="HTMLPreformattedChar">
    <w:name w:val="HTML Preformatted Char"/>
    <w:basedOn w:val="DefaultParagraphFont"/>
    <w:link w:val="HTMLPreformatted"/>
    <w:uiPriority w:val="99"/>
    <w:semiHidden/>
    <w:qFormat/>
    <w:rsid w:val="005250AD"/>
    <w:rPr>
      <w:rFonts w:ascii="Consolas" w:hAnsi="Consolas"/>
      <w:sz w:val="20"/>
      <w:szCs w:val="20"/>
    </w:rPr>
  </w:style>
  <w:style w:type="character" w:customStyle="1" w:styleId="BalloonTextChar">
    <w:name w:val="Balloon Text Char"/>
    <w:basedOn w:val="DefaultParagraphFont"/>
    <w:link w:val="BalloonText"/>
    <w:uiPriority w:val="99"/>
    <w:semiHidden/>
    <w:qFormat/>
    <w:rsid w:val="00026FDC"/>
    <w:rPr>
      <w:rFonts w:ascii="Tahoma" w:hAnsi="Tahoma" w:cs="Tahoma"/>
      <w:sz w:val="16"/>
      <w:szCs w:val="16"/>
    </w:rPr>
  </w:style>
  <w:style w:type="character" w:customStyle="1" w:styleId="InternetLink">
    <w:name w:val="Internet Link"/>
    <w:basedOn w:val="DefaultParagraphFont"/>
    <w:uiPriority w:val="99"/>
    <w:unhideWhenUsed/>
    <w:rsid w:val="00186A04"/>
    <w:rPr>
      <w:color w:val="0000FF" w:themeColor="hyperlink"/>
      <w:u w:val="single"/>
    </w:rPr>
  </w:style>
  <w:style w:type="character" w:customStyle="1" w:styleId="Heading1Char">
    <w:name w:val="Heading 1 Char"/>
    <w:basedOn w:val="DefaultParagraphFont"/>
    <w:link w:val="Heading1"/>
    <w:uiPriority w:val="9"/>
    <w:qFormat/>
    <w:rsid w:val="00D01839"/>
    <w:rPr>
      <w:rFonts w:asciiTheme="majorHAnsi" w:eastAsiaTheme="majorEastAsia" w:hAnsiTheme="majorHAnsi" w:cstheme="majorBidi"/>
      <w:b/>
      <w:bCs/>
      <w:color w:val="365F91" w:themeColor="accent1" w:themeShade="BF"/>
      <w:sz w:val="28"/>
      <w:szCs w:val="28"/>
    </w:rPr>
  </w:style>
  <w:style w:type="character" w:customStyle="1" w:styleId="HeaderChar">
    <w:name w:val="Header Char"/>
    <w:basedOn w:val="DefaultParagraphFont"/>
    <w:link w:val="Header"/>
    <w:uiPriority w:val="99"/>
    <w:qFormat/>
    <w:rsid w:val="00411758"/>
  </w:style>
  <w:style w:type="character" w:customStyle="1" w:styleId="FooterChar">
    <w:name w:val="Footer Char"/>
    <w:basedOn w:val="DefaultParagraphFont"/>
    <w:link w:val="Footer"/>
    <w:uiPriority w:val="99"/>
    <w:qFormat/>
    <w:rsid w:val="00411758"/>
  </w:style>
  <w:style w:type="character" w:styleId="CommentReference">
    <w:name w:val="annotation reference"/>
    <w:basedOn w:val="DefaultParagraphFont"/>
    <w:uiPriority w:val="99"/>
    <w:semiHidden/>
    <w:unhideWhenUsed/>
    <w:qFormat/>
    <w:rsid w:val="00624B9E"/>
    <w:rPr>
      <w:sz w:val="16"/>
      <w:szCs w:val="16"/>
    </w:rPr>
  </w:style>
  <w:style w:type="character" w:customStyle="1" w:styleId="CommentTextChar">
    <w:name w:val="Comment Text Char"/>
    <w:basedOn w:val="DefaultParagraphFont"/>
    <w:link w:val="CommentText"/>
    <w:uiPriority w:val="99"/>
    <w:semiHidden/>
    <w:qFormat/>
    <w:rsid w:val="00624B9E"/>
    <w:rPr>
      <w:sz w:val="20"/>
      <w:szCs w:val="20"/>
    </w:rPr>
  </w:style>
  <w:style w:type="character" w:customStyle="1" w:styleId="CommentSubjectChar">
    <w:name w:val="Comment Subject Char"/>
    <w:basedOn w:val="CommentTextChar"/>
    <w:link w:val="CommentSubject"/>
    <w:uiPriority w:val="99"/>
    <w:semiHidden/>
    <w:qFormat/>
    <w:rsid w:val="00624B9E"/>
    <w:rPr>
      <w:b/>
      <w:bCs/>
      <w:sz w:val="20"/>
      <w:szCs w:val="20"/>
    </w:rPr>
  </w:style>
  <w:style w:type="character" w:customStyle="1" w:styleId="ListLabel1">
    <w:name w:val="ListLabel 1"/>
    <w:qFormat/>
    <w:rsid w:val="00642C31"/>
    <w:rPr>
      <w:rFonts w:cs="Courier New"/>
    </w:rPr>
  </w:style>
  <w:style w:type="character" w:customStyle="1" w:styleId="ListLabel2">
    <w:name w:val="ListLabel 2"/>
    <w:qFormat/>
    <w:rsid w:val="00642C31"/>
    <w:rPr>
      <w:rFonts w:cs="Courier New"/>
    </w:rPr>
  </w:style>
  <w:style w:type="character" w:customStyle="1" w:styleId="ListLabel3">
    <w:name w:val="ListLabel 3"/>
    <w:qFormat/>
    <w:rsid w:val="00642C31"/>
    <w:rPr>
      <w:rFonts w:cs="Courier New"/>
    </w:rPr>
  </w:style>
  <w:style w:type="character" w:customStyle="1" w:styleId="ListLabel4">
    <w:name w:val="ListLabel 4"/>
    <w:qFormat/>
    <w:rsid w:val="00642C31"/>
    <w:rPr>
      <w:rFonts w:cs="Courier New"/>
      <w:b/>
    </w:rPr>
  </w:style>
  <w:style w:type="character" w:customStyle="1" w:styleId="ListLabel5">
    <w:name w:val="ListLabel 5"/>
    <w:qFormat/>
    <w:rsid w:val="00642C31"/>
    <w:rPr>
      <w:rFonts w:cs="Courier New"/>
    </w:rPr>
  </w:style>
  <w:style w:type="character" w:customStyle="1" w:styleId="ListLabel6">
    <w:name w:val="ListLabel 6"/>
    <w:qFormat/>
    <w:rsid w:val="00642C31"/>
    <w:rPr>
      <w:rFonts w:cs="Courier New"/>
    </w:rPr>
  </w:style>
  <w:style w:type="character" w:customStyle="1" w:styleId="ListLabel7">
    <w:name w:val="ListLabel 7"/>
    <w:qFormat/>
    <w:rsid w:val="00642C31"/>
    <w:rPr>
      <w:rFonts w:cs="Courier New"/>
    </w:rPr>
  </w:style>
  <w:style w:type="character" w:customStyle="1" w:styleId="ListLabel8">
    <w:name w:val="ListLabel 8"/>
    <w:qFormat/>
    <w:rsid w:val="00642C31"/>
    <w:rPr>
      <w:rFonts w:cs="Courier New"/>
    </w:rPr>
  </w:style>
  <w:style w:type="character" w:customStyle="1" w:styleId="ListLabel9">
    <w:name w:val="ListLabel 9"/>
    <w:qFormat/>
    <w:rsid w:val="00642C31"/>
    <w:rPr>
      <w:rFonts w:cs="Courier New"/>
    </w:rPr>
  </w:style>
  <w:style w:type="character" w:customStyle="1" w:styleId="ListLabel10">
    <w:name w:val="ListLabel 10"/>
    <w:qFormat/>
    <w:rsid w:val="00642C31"/>
    <w:rPr>
      <w:rFonts w:cs="Courier New"/>
    </w:rPr>
  </w:style>
  <w:style w:type="character" w:customStyle="1" w:styleId="ListLabel11">
    <w:name w:val="ListLabel 11"/>
    <w:qFormat/>
    <w:rsid w:val="00642C31"/>
    <w:rPr>
      <w:rFonts w:cs="Courier New"/>
    </w:rPr>
  </w:style>
  <w:style w:type="character" w:customStyle="1" w:styleId="ListLabel12">
    <w:name w:val="ListLabel 12"/>
    <w:qFormat/>
    <w:rsid w:val="00642C31"/>
    <w:rPr>
      <w:rFonts w:cs="Courier New"/>
    </w:rPr>
  </w:style>
  <w:style w:type="character" w:customStyle="1" w:styleId="ListLabel13">
    <w:name w:val="ListLabel 13"/>
    <w:qFormat/>
    <w:rsid w:val="00642C31"/>
    <w:rPr>
      <w:rFonts w:cs="Courier New"/>
    </w:rPr>
  </w:style>
  <w:style w:type="character" w:customStyle="1" w:styleId="ListLabel14">
    <w:name w:val="ListLabel 14"/>
    <w:qFormat/>
    <w:rsid w:val="00642C31"/>
    <w:rPr>
      <w:rFonts w:cs="Courier New"/>
    </w:rPr>
  </w:style>
  <w:style w:type="character" w:customStyle="1" w:styleId="ListLabel15">
    <w:name w:val="ListLabel 15"/>
    <w:qFormat/>
    <w:rsid w:val="00642C31"/>
    <w:rPr>
      <w:rFonts w:cs="Courier New"/>
    </w:rPr>
  </w:style>
  <w:style w:type="character" w:customStyle="1" w:styleId="ListLabel16">
    <w:name w:val="ListLabel 16"/>
    <w:qFormat/>
    <w:rsid w:val="00642C31"/>
    <w:rPr>
      <w:rFonts w:cs="Courier New"/>
    </w:rPr>
  </w:style>
  <w:style w:type="character" w:customStyle="1" w:styleId="ListLabel17">
    <w:name w:val="ListLabel 17"/>
    <w:qFormat/>
    <w:rsid w:val="00642C31"/>
    <w:rPr>
      <w:rFonts w:cs="Courier New"/>
    </w:rPr>
  </w:style>
  <w:style w:type="character" w:customStyle="1" w:styleId="ListLabel18">
    <w:name w:val="ListLabel 18"/>
    <w:qFormat/>
    <w:rsid w:val="00642C31"/>
    <w:rPr>
      <w:rFonts w:cs="Courier New"/>
    </w:rPr>
  </w:style>
  <w:style w:type="character" w:customStyle="1" w:styleId="ListLabel19">
    <w:name w:val="ListLabel 19"/>
    <w:qFormat/>
    <w:rsid w:val="00642C31"/>
    <w:rPr>
      <w:rFonts w:cs="Courier New"/>
    </w:rPr>
  </w:style>
  <w:style w:type="character" w:customStyle="1" w:styleId="ListLabel20">
    <w:name w:val="ListLabel 20"/>
    <w:qFormat/>
    <w:rsid w:val="00642C31"/>
    <w:rPr>
      <w:rFonts w:cs="Courier New"/>
    </w:rPr>
  </w:style>
  <w:style w:type="character" w:customStyle="1" w:styleId="ListLabel21">
    <w:name w:val="ListLabel 21"/>
    <w:qFormat/>
    <w:rsid w:val="00642C31"/>
    <w:rPr>
      <w:rFonts w:cs="Courier New"/>
    </w:rPr>
  </w:style>
  <w:style w:type="character" w:customStyle="1" w:styleId="ListLabel22">
    <w:name w:val="ListLabel 22"/>
    <w:qFormat/>
    <w:rsid w:val="00642C31"/>
    <w:rPr>
      <w:sz w:val="20"/>
      <w:szCs w:val="20"/>
    </w:rPr>
  </w:style>
  <w:style w:type="character" w:customStyle="1" w:styleId="ListLabel23">
    <w:name w:val="ListLabel 23"/>
    <w:qFormat/>
    <w:rsid w:val="00642C31"/>
    <w:rPr>
      <w:rFonts w:cs="Courier New"/>
    </w:rPr>
  </w:style>
  <w:style w:type="character" w:customStyle="1" w:styleId="ListLabel24">
    <w:name w:val="ListLabel 24"/>
    <w:qFormat/>
    <w:rsid w:val="00642C31"/>
    <w:rPr>
      <w:rFonts w:cs="Courier New"/>
    </w:rPr>
  </w:style>
  <w:style w:type="character" w:customStyle="1" w:styleId="ListLabel25">
    <w:name w:val="ListLabel 25"/>
    <w:qFormat/>
    <w:rsid w:val="00642C31"/>
    <w:rPr>
      <w:rFonts w:cs="Courier New"/>
    </w:rPr>
  </w:style>
  <w:style w:type="character" w:customStyle="1" w:styleId="ListLabel26">
    <w:name w:val="ListLabel 26"/>
    <w:qFormat/>
    <w:rsid w:val="00642C31"/>
    <w:rPr>
      <w:rFonts w:cs="Courier New"/>
    </w:rPr>
  </w:style>
  <w:style w:type="character" w:customStyle="1" w:styleId="ListLabel27">
    <w:name w:val="ListLabel 27"/>
    <w:qFormat/>
    <w:rsid w:val="00642C31"/>
    <w:rPr>
      <w:rFonts w:cs="Courier New"/>
    </w:rPr>
  </w:style>
  <w:style w:type="character" w:customStyle="1" w:styleId="ListLabel28">
    <w:name w:val="ListLabel 28"/>
    <w:qFormat/>
    <w:rsid w:val="00642C31"/>
    <w:rPr>
      <w:rFonts w:cs="Courier New"/>
    </w:rPr>
  </w:style>
  <w:style w:type="character" w:customStyle="1" w:styleId="ListLabel29">
    <w:name w:val="ListLabel 29"/>
    <w:qFormat/>
    <w:rsid w:val="00642C31"/>
    <w:rPr>
      <w:rFonts w:cs="Courier New"/>
    </w:rPr>
  </w:style>
  <w:style w:type="character" w:customStyle="1" w:styleId="ListLabel30">
    <w:name w:val="ListLabel 30"/>
    <w:qFormat/>
    <w:rsid w:val="00642C31"/>
    <w:rPr>
      <w:rFonts w:cs="Courier New"/>
    </w:rPr>
  </w:style>
  <w:style w:type="character" w:customStyle="1" w:styleId="ListLabel31">
    <w:name w:val="ListLabel 31"/>
    <w:qFormat/>
    <w:rsid w:val="00642C31"/>
    <w:rPr>
      <w:rFonts w:cs="Courier New"/>
    </w:rPr>
  </w:style>
  <w:style w:type="character" w:customStyle="1" w:styleId="ListLabel32">
    <w:name w:val="ListLabel 32"/>
    <w:qFormat/>
    <w:rsid w:val="00642C31"/>
    <w:rPr>
      <w:rFonts w:cs="Courier New"/>
    </w:rPr>
  </w:style>
  <w:style w:type="character" w:customStyle="1" w:styleId="ListLabel33">
    <w:name w:val="ListLabel 33"/>
    <w:qFormat/>
    <w:rsid w:val="00642C31"/>
    <w:rPr>
      <w:rFonts w:cs="Courier New"/>
    </w:rPr>
  </w:style>
  <w:style w:type="character" w:customStyle="1" w:styleId="ListLabel34">
    <w:name w:val="ListLabel 34"/>
    <w:qFormat/>
    <w:rsid w:val="00642C31"/>
    <w:rPr>
      <w:rFonts w:cs="Courier New"/>
    </w:rPr>
  </w:style>
  <w:style w:type="character" w:customStyle="1" w:styleId="ListLabel35">
    <w:name w:val="ListLabel 35"/>
    <w:qFormat/>
    <w:rsid w:val="00642C31"/>
    <w:rPr>
      <w:rFonts w:cs="Courier New"/>
    </w:rPr>
  </w:style>
  <w:style w:type="character" w:customStyle="1" w:styleId="ListLabel36">
    <w:name w:val="ListLabel 36"/>
    <w:qFormat/>
    <w:rsid w:val="00642C31"/>
    <w:rPr>
      <w:rFonts w:cs="Courier New"/>
    </w:rPr>
  </w:style>
  <w:style w:type="character" w:customStyle="1" w:styleId="ListLabel37">
    <w:name w:val="ListLabel 37"/>
    <w:qFormat/>
    <w:rsid w:val="00642C31"/>
    <w:rPr>
      <w:rFonts w:cs="Courier New"/>
    </w:rPr>
  </w:style>
  <w:style w:type="character" w:customStyle="1" w:styleId="ListLabel38">
    <w:name w:val="ListLabel 38"/>
    <w:qFormat/>
    <w:rsid w:val="00642C31"/>
    <w:rPr>
      <w:rFonts w:cs="Courier New"/>
    </w:rPr>
  </w:style>
  <w:style w:type="character" w:customStyle="1" w:styleId="ListLabel39">
    <w:name w:val="ListLabel 39"/>
    <w:qFormat/>
    <w:rsid w:val="00642C31"/>
    <w:rPr>
      <w:rFonts w:cs="Courier New"/>
    </w:rPr>
  </w:style>
  <w:style w:type="character" w:customStyle="1" w:styleId="ListLabel40">
    <w:name w:val="ListLabel 40"/>
    <w:qFormat/>
    <w:rsid w:val="00642C31"/>
    <w:rPr>
      <w:rFonts w:cs="Courier New"/>
    </w:rPr>
  </w:style>
  <w:style w:type="character" w:customStyle="1" w:styleId="ListLabel41">
    <w:name w:val="ListLabel 41"/>
    <w:qFormat/>
    <w:rsid w:val="00642C31"/>
    <w:rPr>
      <w:rFonts w:cs="Courier New"/>
    </w:rPr>
  </w:style>
  <w:style w:type="character" w:customStyle="1" w:styleId="ListLabel42">
    <w:name w:val="ListLabel 42"/>
    <w:qFormat/>
    <w:rsid w:val="00642C31"/>
    <w:rPr>
      <w:rFonts w:cs="Courier New"/>
    </w:rPr>
  </w:style>
  <w:style w:type="character" w:customStyle="1" w:styleId="ListLabel43">
    <w:name w:val="ListLabel 43"/>
    <w:qFormat/>
    <w:rsid w:val="00642C31"/>
    <w:rPr>
      <w:rFonts w:cs="Courier New"/>
    </w:rPr>
  </w:style>
  <w:style w:type="character" w:customStyle="1" w:styleId="IndexLink">
    <w:name w:val="Index Link"/>
    <w:qFormat/>
    <w:rsid w:val="00642C31"/>
  </w:style>
  <w:style w:type="character" w:customStyle="1" w:styleId="FootnoteCharacters">
    <w:name w:val="Footnote Characters"/>
    <w:qFormat/>
    <w:rsid w:val="00642C31"/>
  </w:style>
  <w:style w:type="character" w:customStyle="1" w:styleId="FootnoteAnchor">
    <w:name w:val="Footnote Anchor"/>
    <w:rsid w:val="00642C31"/>
    <w:rPr>
      <w:vertAlign w:val="superscript"/>
    </w:rPr>
  </w:style>
  <w:style w:type="character" w:customStyle="1" w:styleId="EndnoteAnchor">
    <w:name w:val="Endnote Anchor"/>
    <w:rsid w:val="00642C31"/>
    <w:rPr>
      <w:vertAlign w:val="superscript"/>
    </w:rPr>
  </w:style>
  <w:style w:type="character" w:customStyle="1" w:styleId="EndnoteCharacters">
    <w:name w:val="Endnote Characters"/>
    <w:qFormat/>
    <w:rsid w:val="00642C31"/>
  </w:style>
  <w:style w:type="paragraph" w:customStyle="1" w:styleId="Heading">
    <w:name w:val="Heading"/>
    <w:basedOn w:val="Normal"/>
    <w:next w:val="BodyText"/>
    <w:qFormat/>
    <w:rsid w:val="00642C31"/>
    <w:pPr>
      <w:keepNext/>
      <w:spacing w:before="240" w:after="120"/>
    </w:pPr>
    <w:rPr>
      <w:rFonts w:ascii="Liberation Sans" w:eastAsia="Noto Sans CJK SC Regular" w:hAnsi="Liberation Sans" w:cs="FreeSans"/>
      <w:sz w:val="28"/>
      <w:szCs w:val="28"/>
    </w:rPr>
  </w:style>
  <w:style w:type="paragraph" w:styleId="BodyText">
    <w:name w:val="Body Text"/>
    <w:basedOn w:val="Normal"/>
    <w:rsid w:val="00642C31"/>
    <w:pPr>
      <w:spacing w:after="140" w:line="288" w:lineRule="auto"/>
    </w:pPr>
  </w:style>
  <w:style w:type="paragraph" w:styleId="List">
    <w:name w:val="List"/>
    <w:basedOn w:val="BodyText"/>
    <w:rsid w:val="00642C31"/>
    <w:rPr>
      <w:rFonts w:cs="FreeSans"/>
    </w:rPr>
  </w:style>
  <w:style w:type="paragraph" w:styleId="Caption">
    <w:name w:val="caption"/>
    <w:basedOn w:val="Normal"/>
    <w:qFormat/>
    <w:rsid w:val="00642C31"/>
    <w:pPr>
      <w:suppressLineNumbers/>
      <w:spacing w:before="120" w:after="120"/>
    </w:pPr>
    <w:rPr>
      <w:rFonts w:cs="FreeSans"/>
      <w:i/>
      <w:iCs/>
      <w:sz w:val="24"/>
      <w:szCs w:val="24"/>
    </w:rPr>
  </w:style>
  <w:style w:type="paragraph" w:customStyle="1" w:styleId="Index">
    <w:name w:val="Index"/>
    <w:basedOn w:val="Normal"/>
    <w:qFormat/>
    <w:rsid w:val="00642C31"/>
    <w:pPr>
      <w:suppressLineNumbers/>
    </w:pPr>
    <w:rPr>
      <w:rFonts w:cs="FreeSans"/>
    </w:rPr>
  </w:style>
  <w:style w:type="paragraph" w:styleId="ListParagraph">
    <w:name w:val="List Paragraph"/>
    <w:basedOn w:val="Normal"/>
    <w:uiPriority w:val="34"/>
    <w:qFormat/>
    <w:rsid w:val="00723E8D"/>
    <w:pPr>
      <w:ind w:left="720"/>
      <w:contextualSpacing/>
    </w:pPr>
    <w:rPr>
      <w:lang w:val="en-GB"/>
    </w:rPr>
  </w:style>
  <w:style w:type="paragraph" w:styleId="FootnoteText">
    <w:name w:val="footnote text"/>
    <w:basedOn w:val="Normal"/>
    <w:link w:val="FootnoteTextChar"/>
    <w:rsid w:val="00642C31"/>
  </w:style>
  <w:style w:type="paragraph" w:styleId="HTMLPreformatted">
    <w:name w:val="HTML Preformatted"/>
    <w:basedOn w:val="Normal"/>
    <w:link w:val="HTMLPreformattedChar"/>
    <w:uiPriority w:val="99"/>
    <w:semiHidden/>
    <w:unhideWhenUsed/>
    <w:qFormat/>
    <w:rsid w:val="005250AD"/>
    <w:pPr>
      <w:spacing w:after="0" w:line="240" w:lineRule="auto"/>
    </w:pPr>
    <w:rPr>
      <w:rFonts w:ascii="Consolas" w:hAnsi="Consolas"/>
      <w:sz w:val="20"/>
      <w:szCs w:val="20"/>
    </w:rPr>
  </w:style>
  <w:style w:type="paragraph" w:styleId="BalloonText">
    <w:name w:val="Balloon Text"/>
    <w:basedOn w:val="Normal"/>
    <w:link w:val="BalloonTextChar"/>
    <w:uiPriority w:val="99"/>
    <w:semiHidden/>
    <w:unhideWhenUsed/>
    <w:qFormat/>
    <w:rsid w:val="00026FDC"/>
    <w:pPr>
      <w:spacing w:after="0" w:line="240" w:lineRule="auto"/>
    </w:pPr>
    <w:rPr>
      <w:rFonts w:ascii="Tahoma" w:hAnsi="Tahoma" w:cs="Tahoma"/>
      <w:sz w:val="16"/>
      <w:szCs w:val="16"/>
    </w:rPr>
  </w:style>
  <w:style w:type="paragraph" w:styleId="TOCHeading">
    <w:name w:val="TOC Heading"/>
    <w:basedOn w:val="Heading1"/>
    <w:next w:val="Normal"/>
    <w:uiPriority w:val="39"/>
    <w:semiHidden/>
    <w:unhideWhenUsed/>
    <w:qFormat/>
    <w:rsid w:val="0052244C"/>
  </w:style>
  <w:style w:type="paragraph" w:styleId="TOC1">
    <w:name w:val="toc 1"/>
    <w:basedOn w:val="Normal"/>
    <w:next w:val="Normal"/>
    <w:autoRedefine/>
    <w:uiPriority w:val="39"/>
    <w:unhideWhenUsed/>
    <w:rsid w:val="0052244C"/>
    <w:pPr>
      <w:spacing w:after="100"/>
    </w:pPr>
  </w:style>
  <w:style w:type="paragraph" w:styleId="Header">
    <w:name w:val="header"/>
    <w:basedOn w:val="Normal"/>
    <w:link w:val="HeaderChar"/>
    <w:uiPriority w:val="99"/>
    <w:unhideWhenUsed/>
    <w:rsid w:val="00411758"/>
    <w:pPr>
      <w:tabs>
        <w:tab w:val="center" w:pos="4680"/>
        <w:tab w:val="right" w:pos="9360"/>
      </w:tabs>
      <w:spacing w:after="0" w:line="240" w:lineRule="auto"/>
    </w:pPr>
  </w:style>
  <w:style w:type="paragraph" w:styleId="Footer">
    <w:name w:val="footer"/>
    <w:basedOn w:val="Normal"/>
    <w:link w:val="FooterChar"/>
    <w:uiPriority w:val="99"/>
    <w:unhideWhenUsed/>
    <w:rsid w:val="00411758"/>
    <w:pPr>
      <w:tabs>
        <w:tab w:val="center" w:pos="4680"/>
        <w:tab w:val="right" w:pos="9360"/>
      </w:tabs>
      <w:spacing w:after="0" w:line="240" w:lineRule="auto"/>
    </w:pPr>
  </w:style>
  <w:style w:type="paragraph" w:styleId="CommentText">
    <w:name w:val="annotation text"/>
    <w:basedOn w:val="Normal"/>
    <w:link w:val="CommentTextChar"/>
    <w:uiPriority w:val="99"/>
    <w:semiHidden/>
    <w:unhideWhenUsed/>
    <w:qFormat/>
    <w:rsid w:val="00624B9E"/>
    <w:pPr>
      <w:spacing w:line="240" w:lineRule="auto"/>
    </w:pPr>
    <w:rPr>
      <w:sz w:val="20"/>
      <w:szCs w:val="20"/>
    </w:rPr>
  </w:style>
  <w:style w:type="paragraph" w:styleId="CommentSubject">
    <w:name w:val="annotation subject"/>
    <w:basedOn w:val="CommentText"/>
    <w:link w:val="CommentSubjectChar"/>
    <w:uiPriority w:val="99"/>
    <w:semiHidden/>
    <w:unhideWhenUsed/>
    <w:qFormat/>
    <w:rsid w:val="00624B9E"/>
    <w:rPr>
      <w:b/>
      <w:bCs/>
    </w:rPr>
  </w:style>
  <w:style w:type="table" w:styleId="TableGrid">
    <w:name w:val="Table Grid"/>
    <w:basedOn w:val="TableNormal"/>
    <w:uiPriority w:val="59"/>
    <w:rsid w:val="00847D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11">
    <w:name w:val="Light Shading - Accent 11"/>
    <w:basedOn w:val="TableNormal"/>
    <w:uiPriority w:val="60"/>
    <w:rsid w:val="00966AD0"/>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Accent111">
    <w:name w:val="Light Shading - Accent 111"/>
    <w:basedOn w:val="TableNormal"/>
    <w:uiPriority w:val="60"/>
    <w:rsid w:val="002B6C28"/>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MediumShading1-Accent11">
    <w:name w:val="Medium Shading 1 - Accent 11"/>
    <w:basedOn w:val="TableNormal"/>
    <w:uiPriority w:val="63"/>
    <w:rsid w:val="00375200"/>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ghtList-Accent5">
    <w:name w:val="Light List Accent 5"/>
    <w:basedOn w:val="TableNormal"/>
    <w:uiPriority w:val="61"/>
    <w:rsid w:val="00E53E75"/>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styleId="Hyperlink">
    <w:name w:val="Hyperlink"/>
    <w:basedOn w:val="DefaultParagraphFont"/>
    <w:uiPriority w:val="99"/>
    <w:unhideWhenUsed/>
    <w:rsid w:val="00E17C6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265452">
      <w:bodyDiv w:val="1"/>
      <w:marLeft w:val="0"/>
      <w:marRight w:val="0"/>
      <w:marTop w:val="0"/>
      <w:marBottom w:val="0"/>
      <w:divBdr>
        <w:top w:val="none" w:sz="0" w:space="0" w:color="auto"/>
        <w:left w:val="none" w:sz="0" w:space="0" w:color="auto"/>
        <w:bottom w:val="none" w:sz="0" w:space="0" w:color="auto"/>
        <w:right w:val="none" w:sz="0" w:space="0" w:color="auto"/>
      </w:divBdr>
    </w:div>
    <w:div w:id="710039042">
      <w:bodyDiv w:val="1"/>
      <w:marLeft w:val="120"/>
      <w:marRight w:val="120"/>
      <w:marTop w:val="0"/>
      <w:marBottom w:val="0"/>
      <w:divBdr>
        <w:top w:val="none" w:sz="0" w:space="0" w:color="auto"/>
        <w:left w:val="none" w:sz="0" w:space="0" w:color="auto"/>
        <w:bottom w:val="none" w:sz="0" w:space="0" w:color="auto"/>
        <w:right w:val="none" w:sz="0" w:space="0" w:color="auto"/>
      </w:divBdr>
    </w:div>
    <w:div w:id="1149786442">
      <w:bodyDiv w:val="1"/>
      <w:marLeft w:val="120"/>
      <w:marRight w:val="120"/>
      <w:marTop w:val="0"/>
      <w:marBottom w:val="0"/>
      <w:divBdr>
        <w:top w:val="none" w:sz="0" w:space="0" w:color="auto"/>
        <w:left w:val="none" w:sz="0" w:space="0" w:color="auto"/>
        <w:bottom w:val="none" w:sz="0" w:space="0" w:color="auto"/>
        <w:right w:val="none" w:sz="0" w:space="0" w:color="auto"/>
      </w:divBdr>
    </w:div>
    <w:div w:id="1226380388">
      <w:bodyDiv w:val="1"/>
      <w:marLeft w:val="120"/>
      <w:marRight w:val="120"/>
      <w:marTop w:val="0"/>
      <w:marBottom w:val="0"/>
      <w:divBdr>
        <w:top w:val="none" w:sz="0" w:space="0" w:color="auto"/>
        <w:left w:val="none" w:sz="0" w:space="0" w:color="auto"/>
        <w:bottom w:val="none" w:sz="0" w:space="0" w:color="auto"/>
        <w:right w:val="none" w:sz="0" w:space="0" w:color="auto"/>
      </w:divBdr>
    </w:div>
    <w:div w:id="1759015316">
      <w:bodyDiv w:val="1"/>
      <w:marLeft w:val="120"/>
      <w:marRight w:val="12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image" Target="media/image4.png"/><Relationship Id="rId26" Type="http://schemas.openxmlformats.org/officeDocument/2006/relationships/image" Target="media/image12.png"/><Relationship Id="rId3" Type="http://schemas.openxmlformats.org/officeDocument/2006/relationships/customXml" Target="../customXml/item3.xml"/><Relationship Id="rId21" Type="http://schemas.openxmlformats.org/officeDocument/2006/relationships/image" Target="media/image7.png"/><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image" Target="media/image3.png"/><Relationship Id="rId25" Type="http://schemas.openxmlformats.org/officeDocument/2006/relationships/image" Target="media/image11.emf"/><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image" Target="media/image6.png"/><Relationship Id="rId29" Type="http://schemas.openxmlformats.org/officeDocument/2006/relationships/image" Target="media/image15.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image" Target="media/image10.emf"/><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image" Target="media/image9.png"/><Relationship Id="rId28" Type="http://schemas.openxmlformats.org/officeDocument/2006/relationships/image" Target="media/image14.png"/><Relationship Id="rId10" Type="http://schemas.openxmlformats.org/officeDocument/2006/relationships/styles" Target="styles.xml"/><Relationship Id="rId19" Type="http://schemas.openxmlformats.org/officeDocument/2006/relationships/image" Target="media/image5.png"/><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image" Target="media/image8.png"/><Relationship Id="rId27" Type="http://schemas.openxmlformats.org/officeDocument/2006/relationships/image" Target="media/image13.png"/><Relationship Id="rId30" Type="http://schemas.openxmlformats.org/officeDocument/2006/relationships/image" Target="media/image1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p:properties xmlns:p="http://schemas.microsoft.com/office/2006/metadata/properties" xmlns:xsi="http://www.w3.org/2001/XMLSchema-instance" xmlns:pc="http://schemas.microsoft.com/office/infopath/2007/PartnerControls">
  <documentManagement>
    <o5359087ad404c199aee74686ab194d3 xmlns="e14115de-03ae-49b5-af01-31035404c456">
      <Terms xmlns="http://schemas.microsoft.com/office/infopath/2007/PartnerControls">
        <TermInfo xmlns="http://schemas.microsoft.com/office/infopath/2007/PartnerControls">
          <TermName xmlns="http://schemas.microsoft.com/office/infopath/2007/PartnerControls">Meeting papers (inc. agendas minutes etc)</TermName>
          <TermId xmlns="http://schemas.microsoft.com/office/infopath/2007/PartnerControls">ce21491e-24bf-490d-8d19-382be1f405d0</TermId>
        </TermInfo>
      </Terms>
    </o5359087ad404c199aee74686ab194d3>
    <TaxKeywordTaxHTField xmlns="e14115de-03ae-49b5-af01-31035404c456">
      <Terms xmlns="http://schemas.microsoft.com/office/infopath/2007/PartnerControls"/>
    </TaxKeywordTaxHTField>
    <_dlc_DocId xmlns="39b8a52d-d8b9-47ff-a8c3-c8931ddf8d60">D5PZWENCX5VS-172818178-31262</_dlc_DocId>
    <_dlc_DocIdUrl xmlns="39b8a52d-d8b9-47ff-a8c3-c8931ddf8d60">
      <Url>https://share.sp.ons.statistics.gov.uk/sites/MTH/Cen/_layouts/15/DocIdRedir.aspx?ID=D5PZWENCX5VS-172818178-31262</Url>
      <Description>D5PZWENCX5VS-172818178-31262</Description>
    </_dlc_DocIdUrl>
    <EDRMSOwner xmlns="f8cc70c5-6df4-4163-8f93-1fe30c314df0" xsi:nil="true"/>
    <Retention xmlns="f8cc70c5-6df4-4163-8f93-1fe30c314df0">0</Retention>
    <TaxCatchAll xmlns="e14115de-03ae-49b5-af01-31035404c456">
      <Value>9</Value>
    </TaxCatchAll>
    <RetentionType xmlns="f8cc70c5-6df4-4163-8f93-1fe30c314df0">Notify</RetentionType>
    <RetentionDate xmlns="f8cc70c5-6df4-4163-8f93-1fe30c314df0" xsi:nil="true"/>
  </documentManagement>
</p:properties>
</file>

<file path=customXml/item2.xml><?xml version="1.0" encoding="utf-8"?>
<?mso-contentType ?>
<p:Policy xmlns:p="office.server.policy" id="" local="true">
  <p:Name>ONS Document</p:Name>
  <p:Description/>
  <p:Statement/>
  <p:PolicyItems>
    <p:PolicyItem featureId="Microsoft.Office.RecordsManagement.PolicyFeatures.Expiration" staticId="0x01010035E33599CC8D1E47A037F474646B1D58|2057524105" UniqueId="d097a687-1114-45fc-89d8-799351d0ef20">
      <p:Name>Retention</p:Name>
      <p:Description>Automatic scheduling of content for processing, and performing a retention action on content that has reached its due date.</p:Description>
      <p:CustomData>
        <Schedules nextStageId="2">
          <Schedule type="Default">
            <stages>
              <data stageId="1">
                <formula id="Microsoft.Office.RecordsManagement.PolicyFeatures.Expiration.Formula.BuiltIn">
                  <number>100</number>
                  <property>Retention_x0020_Date</property>
                  <period>years</period>
                </formula>
                <action type="action" id="ONS-RetentionAction"/>
              </data>
            </stages>
          </Schedule>
        </Schedules>
      </p:CustomData>
    </p:PolicyItem>
  </p:PolicyItems>
</p:Policy>
</file>

<file path=customXml/item3.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ONS Document" ma:contentTypeID="0x01010035E33599CC8D1E47A037F474646B1D5800273A6B879E4806468C3420FB11894285" ma:contentTypeVersion="81" ma:contentTypeDescription="Create a new document." ma:contentTypeScope="" ma:versionID="c4d76997e6921202b28ca10b0a8ac136">
  <xsd:schema xmlns:xsd="http://www.w3.org/2001/XMLSchema" xmlns:xs="http://www.w3.org/2001/XMLSchema" xmlns:p="http://schemas.microsoft.com/office/2006/metadata/properties" xmlns:ns1="http://schemas.microsoft.com/sharepoint/v3" xmlns:ns3="e14115de-03ae-49b5-af01-31035404c456" xmlns:ns4="f8cc70c5-6df4-4163-8f93-1fe30c314df0" xmlns:ns6="39b8a52d-d8b9-47ff-a8c3-c8931ddf8d60" targetNamespace="http://schemas.microsoft.com/office/2006/metadata/properties" ma:root="true" ma:fieldsID="5aefc79157de298089d275c48d7e61c4" ns1:_="" ns3:_="" ns4:_="" ns6:_="">
    <xsd:import namespace="http://schemas.microsoft.com/sharepoint/v3"/>
    <xsd:import namespace="e14115de-03ae-49b5-af01-31035404c456"/>
    <xsd:import namespace="f8cc70c5-6df4-4163-8f93-1fe30c314df0"/>
    <xsd:import namespace="39b8a52d-d8b9-47ff-a8c3-c8931ddf8d60"/>
    <xsd:element name="properties">
      <xsd:complexType>
        <xsd:sequence>
          <xsd:element name="documentManagement">
            <xsd:complexType>
              <xsd:all>
                <xsd:element ref="ns3:TaxCatchAll" minOccurs="0"/>
                <xsd:element ref="ns3:TaxCatchAllLabel" minOccurs="0"/>
                <xsd:element ref="ns3:o5359087ad404c199aee74686ab194d3" minOccurs="0"/>
                <xsd:element ref="ns4:RetentionDate" minOccurs="0"/>
                <xsd:element ref="ns4:Retention" minOccurs="0"/>
                <xsd:element ref="ns4:EDRMSOwner" minOccurs="0"/>
                <xsd:element ref="ns4:RetentionType" minOccurs="0"/>
                <xsd:element ref="ns3:TaxKeywordTaxHTField" minOccurs="0"/>
                <xsd:element ref="ns1:_dlc_Exempt" minOccurs="0"/>
                <xsd:element ref="ns1:_dlc_ExpireDateSaved" minOccurs="0"/>
                <xsd:element ref="ns1:_dlc_ExpireDate"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9" nillable="true" ma:displayName="Exempt from Policy" ma:hidden="true" ma:internalName="_dlc_Exempt" ma:readOnly="true">
      <xsd:simpleType>
        <xsd:restriction base="dms:Unknown"/>
      </xsd:simpleType>
    </xsd:element>
    <xsd:element name="_dlc_ExpireDateSaved" ma:index="20" nillable="true" ma:displayName="Original Expiration Date" ma:hidden="true" ma:internalName="_dlc_ExpireDateSaved" ma:readOnly="true">
      <xsd:simpleType>
        <xsd:restriction base="dms:DateTime"/>
      </xsd:simpleType>
    </xsd:element>
    <xsd:element name="_dlc_ExpireDate" ma:index="21"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14115de-03ae-49b5-af01-31035404c456" elementFormDefault="qualified">
    <xsd:import namespace="http://schemas.microsoft.com/office/2006/documentManagement/types"/>
    <xsd:import namespace="http://schemas.microsoft.com/office/infopath/2007/PartnerControls"/>
    <xsd:element name="TaxCatchAll" ma:index="7" nillable="true" ma:displayName="Taxonomy Catch All Column" ma:hidden="true" ma:list="{3611e986-ca69-48a4-8572-d7ca3022a217}" ma:internalName="TaxCatchAll" ma:showField="CatchAllData" ma:web="39b8a52d-d8b9-47ff-a8c3-c8931ddf8d60">
      <xsd:complexType>
        <xsd:complexContent>
          <xsd:extension base="dms:MultiChoiceLookup">
            <xsd:sequence>
              <xsd:element name="Value" type="dms:Lookup" maxOccurs="unbounded" minOccurs="0" nillable="true"/>
            </xsd:sequence>
          </xsd:extension>
        </xsd:complexContent>
      </xsd:complexType>
    </xsd:element>
    <xsd:element name="TaxCatchAllLabel" ma:index="8" nillable="true" ma:displayName="Taxonomy Catch All Column1" ma:hidden="true" ma:list="{3611e986-ca69-48a4-8572-d7ca3022a217}" ma:internalName="TaxCatchAllLabel" ma:readOnly="true" ma:showField="CatchAllDataLabel" ma:web="39b8a52d-d8b9-47ff-a8c3-c8931ddf8d60">
      <xsd:complexType>
        <xsd:complexContent>
          <xsd:extension base="dms:MultiChoiceLookup">
            <xsd:sequence>
              <xsd:element name="Value" type="dms:Lookup" maxOccurs="unbounded" minOccurs="0" nillable="true"/>
            </xsd:sequence>
          </xsd:extension>
        </xsd:complexContent>
      </xsd:complexType>
    </xsd:element>
    <xsd:element name="o5359087ad404c199aee74686ab194d3" ma:index="9" ma:taxonomy="true" ma:internalName="o5359087ad404c199aee74686ab194d3" ma:taxonomyFieldName="RecordType" ma:displayName="Record Type" ma:readOnly="false" ma:default="" ma:fieldId="{85359087-ad40-4c19-9aee-74686ab194d3}" ma:sspId="a7dd7a64-f5c5-4f30-b8c4-f5626f639d1b" ma:termSetId="b7884471-767e-4886-9e04-df700fa96fc2" ma:anchorId="00000000-0000-0000-0000-000000000000" ma:open="false" ma:isKeyword="false">
      <xsd:complexType>
        <xsd:sequence>
          <xsd:element ref="pc:Terms" minOccurs="0" maxOccurs="1"/>
        </xsd:sequence>
      </xsd:complexType>
    </xsd:element>
    <xsd:element name="TaxKeywordTaxHTField" ma:index="16" nillable="true" ma:taxonomy="true" ma:internalName="TaxKeywordTaxHTField" ma:taxonomyFieldName="TaxKeyword" ma:displayName="Enterprise Keywords" ma:fieldId="{23f27201-bee3-471e-b2e7-b64fd8b7ca38}" ma:taxonomyMulti="true" ma:sspId="a7dd7a64-f5c5-4f30-b8c4-f5626f639d1b"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8cc70c5-6df4-4163-8f93-1fe30c314df0" elementFormDefault="qualified">
    <xsd:import namespace="http://schemas.microsoft.com/office/2006/documentManagement/types"/>
    <xsd:import namespace="http://schemas.microsoft.com/office/infopath/2007/PartnerControls"/>
    <xsd:element name="RetentionDate" ma:index="12" nillable="true" ma:displayName="Retention Date" ma:format="DateOnly" ma:internalName="Retention_x0020_Date" ma:readOnly="false">
      <xsd:simpleType>
        <xsd:restriction base="dms:DateTime"/>
      </xsd:simpleType>
    </xsd:element>
    <xsd:element name="Retention" ma:index="13" nillable="true" ma:displayName="Retention" ma:default="0" ma:internalName="Retention" ma:readOnly="false">
      <xsd:simpleType>
        <xsd:restriction base="dms:Number"/>
      </xsd:simpleType>
    </xsd:element>
    <xsd:element name="EDRMSOwner" ma:index="14" nillable="true" ma:displayName="EDRMSOwner" ma:hidden="true" ma:internalName="EDRMSOwner" ma:readOnly="false">
      <xsd:simpleType>
        <xsd:restriction base="dms:Text"/>
      </xsd:simpleType>
    </xsd:element>
    <xsd:element name="RetentionType" ma:index="15" nillable="true" ma:displayName="Retention Type" ma:default="Notify" ma:internalName="Retention_x0020_Type" ma:readOnly="false">
      <xsd:simpleType>
        <xsd:restriction base="dms:Choice">
          <xsd:enumeration value="Notify"/>
          <xsd:enumeration value="Delete"/>
          <xsd:enumeration value="Declare"/>
        </xsd:restriction>
      </xsd:simpleType>
    </xsd:element>
  </xsd:schema>
  <xsd:schema xmlns:xsd="http://www.w3.org/2001/XMLSchema" xmlns:xs="http://www.w3.org/2001/XMLSchema" xmlns:dms="http://schemas.microsoft.com/office/2006/documentManagement/types" xmlns:pc="http://schemas.microsoft.com/office/infopath/2007/PartnerControls" targetNamespace="39b8a52d-d8b9-47ff-a8c3-c8931ddf8d60" elementFormDefault="qualified">
    <xsd:import namespace="http://schemas.microsoft.com/office/2006/documentManagement/types"/>
    <xsd:import namespace="http://schemas.microsoft.com/office/infopath/2007/PartnerControls"/>
    <xsd:element name="_dlc_DocId" ma:index="22" nillable="true" ma:displayName="Document ID Value" ma:description="The value of the document ID assigned to this item." ma:internalName="_dlc_DocId" ma:readOnly="true">
      <xsd:simpleType>
        <xsd:restriction base="dms:Text"/>
      </xsd:simpleType>
    </xsd:element>
    <xsd:element name="_dlc_DocIdUrl" ma:index="2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customXsn xmlns="http://schemas.microsoft.com/office/2006/metadata/customXsn">
  <xsnLocation/>
  <cached>True</cached>
  <openByDefault>True</openByDefault>
  <xsnScope/>
</customXsn>
</file>

<file path=customXml/item7.xml><?xml version="1.0" encoding="utf-8"?>
<?mso-contentType ?>
<SharedContentType xmlns="Microsoft.SharePoint.Taxonomy.ContentTypeSync" SourceId="a7dd7a64-f5c5-4f30-b8c4-f5626f639d1b" ContentTypeId="0x01010035E33599CC8D1E47A037F474646B1D58" PreviousValue="false"/>
</file>

<file path=customXml/item8.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B6D15F-48C4-49F3-9ACA-65D912115F0B}">
  <ds:schemaRefs>
    <ds:schemaRef ds:uri="http://purl.org/dc/elements/1.1/"/>
    <ds:schemaRef ds:uri="http://schemas.microsoft.com/office/2006/metadata/properties"/>
    <ds:schemaRef ds:uri="e14115de-03ae-49b5-af01-31035404c456"/>
    <ds:schemaRef ds:uri="http://schemas.microsoft.com/sharepoint/v3"/>
    <ds:schemaRef ds:uri="a0476314-f03c-430e-9769-a13e77a4dd6f"/>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effb7cea-f212-429d-8f78-13cc90967790"/>
    <ds:schemaRef ds:uri="http://www.w3.org/XML/1998/namespace"/>
    <ds:schemaRef ds:uri="http://purl.org/dc/dcmitype/"/>
  </ds:schemaRefs>
</ds:datastoreItem>
</file>

<file path=customXml/itemProps2.xml><?xml version="1.0" encoding="utf-8"?>
<ds:datastoreItem xmlns:ds="http://schemas.openxmlformats.org/officeDocument/2006/customXml" ds:itemID="{A6C09B27-EE0B-4BBD-B2EA-0BB069E88177}">
  <ds:schemaRefs>
    <ds:schemaRef ds:uri="office.server.policy"/>
  </ds:schemaRefs>
</ds:datastoreItem>
</file>

<file path=customXml/itemProps3.xml><?xml version="1.0" encoding="utf-8"?>
<ds:datastoreItem xmlns:ds="http://schemas.openxmlformats.org/officeDocument/2006/customXml" ds:itemID="{CC622A35-058A-405E-8BDE-CB13F32A4D54}">
  <ds:schemaRefs>
    <ds:schemaRef ds:uri="http://schemas.microsoft.com/sharepoint/events"/>
  </ds:schemaRefs>
</ds:datastoreItem>
</file>

<file path=customXml/itemProps4.xml><?xml version="1.0" encoding="utf-8"?>
<ds:datastoreItem xmlns:ds="http://schemas.openxmlformats.org/officeDocument/2006/customXml" ds:itemID="{EC1BC776-F417-42A1-8E06-AC74A46EB8A1}"/>
</file>

<file path=customXml/itemProps5.xml><?xml version="1.0" encoding="utf-8"?>
<ds:datastoreItem xmlns:ds="http://schemas.openxmlformats.org/officeDocument/2006/customXml" ds:itemID="{7FA2969C-8026-4782-9136-3149EB76CF0F}">
  <ds:schemaRefs>
    <ds:schemaRef ds:uri="http://schemas.microsoft.com/sharepoint/v3/contenttype/forms"/>
  </ds:schemaRefs>
</ds:datastoreItem>
</file>

<file path=customXml/itemProps6.xml><?xml version="1.0" encoding="utf-8"?>
<ds:datastoreItem xmlns:ds="http://schemas.openxmlformats.org/officeDocument/2006/customXml" ds:itemID="{5AFB02B3-CBCE-425A-A260-690387BEFA59}">
  <ds:schemaRefs>
    <ds:schemaRef ds:uri="http://schemas.microsoft.com/office/2006/metadata/customXsn"/>
  </ds:schemaRefs>
</ds:datastoreItem>
</file>

<file path=customXml/itemProps7.xml><?xml version="1.0" encoding="utf-8"?>
<ds:datastoreItem xmlns:ds="http://schemas.openxmlformats.org/officeDocument/2006/customXml" ds:itemID="{D6C1FDF7-B696-4CC0-8D31-00D9825AD5CB}">
  <ds:schemaRefs>
    <ds:schemaRef ds:uri="Microsoft.SharePoint.Taxonomy.ContentTypeSync"/>
  </ds:schemaRefs>
</ds:datastoreItem>
</file>

<file path=customXml/itemProps8.xml><?xml version="1.0" encoding="utf-8"?>
<ds:datastoreItem xmlns:ds="http://schemas.openxmlformats.org/officeDocument/2006/customXml" ds:itemID="{9003F201-5D8B-4031-A3AA-DBF71EAF0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4296</Words>
  <Characters>24489</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ONS</Company>
  <LinksUpToDate>false</LinksUpToDate>
  <CharactersWithSpaces>28728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Corps, David</dc:creator>
  <cp:lastModifiedBy>Lydiat, Christopher</cp:lastModifiedBy>
  <cp:revision>2</cp:revision>
  <dcterms:created xsi:type="dcterms:W3CDTF">2019-11-05T14:30:00Z</dcterms:created>
  <dcterms:modified xsi:type="dcterms:W3CDTF">2019-11-05T14:30:00Z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ONS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0x01010035E33599CC8D1E47A037F474646B1D5800273A6B879E4806468C3420FB11894285</vt:lpwstr>
  </property>
  <property fmtid="{D5CDD505-2E9C-101B-9397-08002B2CF9AE}" pid="10" name="_dlc_DocIdItemGuid">
    <vt:lpwstr>95bfc90d-4cae-4e9c-a60e-e157b02e0cdf</vt:lpwstr>
  </property>
  <property fmtid="{D5CDD505-2E9C-101B-9397-08002B2CF9AE}" pid="11" name="TaxKeyword">
    <vt:lpwstr/>
  </property>
  <property fmtid="{D5CDD505-2E9C-101B-9397-08002B2CF9AE}" pid="12" name="RecordType">
    <vt:lpwstr>9;#Meeting papers (inc. agendas minutes etc)|ce21491e-24bf-490d-8d19-382be1f405d0</vt:lpwstr>
  </property>
  <property fmtid="{D5CDD505-2E9C-101B-9397-08002B2CF9AE}" pid="13" name="TaxKeywordTaxHTField">
    <vt:lpwstr/>
  </property>
  <property fmtid="{D5CDD505-2E9C-101B-9397-08002B2CF9AE}" pid="14" name="_dlc_policyId">
    <vt:lpwstr>0x01010035E33599CC8D1E47A037F474646B1D58|2057524105</vt:lpwstr>
  </property>
  <property fmtid="{D5CDD505-2E9C-101B-9397-08002B2CF9AE}" pid="15" name="ItemRetentionFormula">
    <vt:lpwstr>&lt;formula id="Microsoft.Office.RecordsManagement.PolicyFeatures.Expiration.Formula.BuiltIn"&gt;&lt;number&gt;100&lt;/number&gt;&lt;property&gt;Retention_x005f_x0020_Date&lt;/property&gt;&lt;period&gt;years&lt;/period&gt;&lt;/formula&gt;</vt:lpwstr>
  </property>
  <property fmtid="{D5CDD505-2E9C-101B-9397-08002B2CF9AE}" pid="16" name="TaxCatchAll">
    <vt:lpwstr>1;#Programme and Project|96356c75-f26d-45f0-a4b1-e809250f704c</vt:lpwstr>
  </property>
</Properties>
</file>